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DCF" w:rsidRPr="00B93282" w:rsidRDefault="0013167B" w:rsidP="00B93282">
      <w:pPr>
        <w:pStyle w:val="ac"/>
        <w:rPr>
          <w:sz w:val="44"/>
        </w:rPr>
      </w:pPr>
      <w:bookmarkStart w:id="0" w:name="_GoBack"/>
      <w:bookmarkEnd w:id="0"/>
      <w:r w:rsidRPr="00B93282">
        <w:rPr>
          <w:sz w:val="44"/>
        </w:rPr>
        <w:t xml:space="preserve">    </w:t>
      </w:r>
      <w:r w:rsidR="00153666" w:rsidRPr="00B93282">
        <w:rPr>
          <w:sz w:val="44"/>
        </w:rPr>
        <w:t>Аналитический обзор</w:t>
      </w:r>
      <w:r w:rsidR="004B48BE" w:rsidRPr="00B93282">
        <w:rPr>
          <w:sz w:val="44"/>
        </w:rPr>
        <w:t>: финансовые потоки в системе здравоохранения в 2017 году</w:t>
      </w:r>
    </w:p>
    <w:p w:rsidR="00F77CAE" w:rsidRPr="00F160FF" w:rsidRDefault="00124F09" w:rsidP="00F160FF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60F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Авторы</w:t>
      </w:r>
      <w:r w:rsidRPr="00F160FF"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6"/>
          <w:szCs w:val="26"/>
        </w:rPr>
        <w:t>:</w:t>
      </w:r>
      <w:r w:rsidRPr="00F160F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77CAE" w:rsidRPr="00F160FF">
        <w:rPr>
          <w:rFonts w:ascii="Times New Roman" w:hAnsi="Times New Roman" w:cs="Times New Roman"/>
          <w:i/>
          <w:sz w:val="28"/>
          <w:szCs w:val="28"/>
        </w:rPr>
        <w:t>Темекова</w:t>
      </w:r>
      <w:proofErr w:type="spellEnd"/>
      <w:r w:rsidR="00F77CAE" w:rsidRPr="00F160FF">
        <w:rPr>
          <w:rFonts w:ascii="Times New Roman" w:hAnsi="Times New Roman" w:cs="Times New Roman"/>
          <w:i/>
          <w:sz w:val="28"/>
          <w:szCs w:val="28"/>
        </w:rPr>
        <w:t xml:space="preserve"> З</w:t>
      </w:r>
      <w:r w:rsidR="00F160FF" w:rsidRPr="00F160FF">
        <w:rPr>
          <w:rFonts w:ascii="Times New Roman" w:hAnsi="Times New Roman" w:cs="Times New Roman"/>
          <w:i/>
          <w:sz w:val="28"/>
          <w:szCs w:val="28"/>
        </w:rPr>
        <w:t xml:space="preserve">.М., </w:t>
      </w:r>
      <w:proofErr w:type="spellStart"/>
      <w:r w:rsidR="00F160FF" w:rsidRPr="00F160FF">
        <w:rPr>
          <w:rFonts w:ascii="Times New Roman" w:hAnsi="Times New Roman" w:cs="Times New Roman"/>
          <w:i/>
          <w:sz w:val="28"/>
          <w:szCs w:val="28"/>
        </w:rPr>
        <w:t>Ищанова</w:t>
      </w:r>
      <w:proofErr w:type="spellEnd"/>
      <w:r w:rsidR="00F160FF" w:rsidRPr="00F160FF">
        <w:rPr>
          <w:rFonts w:ascii="Times New Roman" w:hAnsi="Times New Roman" w:cs="Times New Roman"/>
          <w:i/>
          <w:sz w:val="28"/>
          <w:szCs w:val="28"/>
        </w:rPr>
        <w:t xml:space="preserve"> А.Б, Республиканский центр развития здравоохранения МЗ РК</w:t>
      </w:r>
      <w:r w:rsidR="00FC5AB1">
        <w:rPr>
          <w:rFonts w:ascii="Times New Roman" w:hAnsi="Times New Roman" w:cs="Times New Roman"/>
          <w:i/>
          <w:sz w:val="28"/>
          <w:szCs w:val="28"/>
        </w:rPr>
        <w:t>.</w:t>
      </w:r>
      <w:r w:rsidR="00F160FF" w:rsidRPr="00F160FF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F160FF" w:rsidRPr="00124F09" w:rsidRDefault="00F160FF" w:rsidP="00F160F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160FF" w:rsidRPr="00124F09" w:rsidSect="004B754B"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40B01" w:rsidRPr="00B14053" w:rsidRDefault="00331ABA" w:rsidP="0011419C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14053">
        <w:rPr>
          <w:color w:val="365F91" w:themeColor="accent1" w:themeShade="BF"/>
          <w:sz w:val="28"/>
          <w:szCs w:val="28"/>
        </w:rPr>
        <w:lastRenderedPageBreak/>
        <w:t>Введение</w:t>
      </w:r>
    </w:p>
    <w:p w:rsidR="004B48BE" w:rsidRDefault="004B48B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8BE">
        <w:rPr>
          <w:rFonts w:ascii="Times New Roman" w:hAnsi="Times New Roman" w:cs="Times New Roman"/>
          <w:sz w:val="28"/>
          <w:szCs w:val="28"/>
        </w:rPr>
        <w:t>Во всем мире идет развитие мощностей систем здравоохранения, направленное на улучшение здоровья обслуживаемого населения, что, однако, сопряжено с ощутимыми дополнительными затратами. Именно по этой причине получение более точной информации о финансировании системы здравоохранения становится важным элементом разработки политики здравоохранения.</w:t>
      </w:r>
    </w:p>
    <w:p w:rsidR="00FF0DCF" w:rsidRDefault="00640B01" w:rsidP="00FF0DCF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B01">
        <w:rPr>
          <w:rFonts w:ascii="Times New Roman" w:hAnsi="Times New Roman" w:cs="Times New Roman"/>
          <w:sz w:val="28"/>
          <w:szCs w:val="28"/>
        </w:rPr>
        <w:t xml:space="preserve">Эксперты в сфере здравоохранения используют Национальные Счета Здравоохранения (далее – НСЗ) разработанные для решения конкретных вопросов относительно состояния системы здравоохранения. </w:t>
      </w:r>
    </w:p>
    <w:p w:rsidR="00FF0DCF" w:rsidRDefault="00FF0DCF" w:rsidP="00FF0DCF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B01" w:rsidRDefault="00640B01" w:rsidP="00FF0DCF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B01">
        <w:rPr>
          <w:rFonts w:ascii="Times New Roman" w:hAnsi="Times New Roman" w:cs="Times New Roman"/>
          <w:sz w:val="28"/>
          <w:szCs w:val="28"/>
        </w:rPr>
        <w:t>С их помощью обеспечиваются систематические расчеты и представление данных о расходах на здравоохранение. Они отражают, сколько было израсходовано, где, на что и для кого, каким образом расходы меняются на протяжении времени, и позволяют сопоставить их с расходами в странах, находящихся в аналогичных условиях.</w:t>
      </w:r>
    </w:p>
    <w:p w:rsidR="00FF0DCF" w:rsidRDefault="000D628D" w:rsidP="00FF0DCF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F0DCF" w:rsidSect="00FF0DCF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Цель данной</w:t>
      </w:r>
      <w:r w:rsidR="004A5C3E">
        <w:rPr>
          <w:rFonts w:ascii="Times New Roman" w:hAnsi="Times New Roman" w:cs="Times New Roman"/>
          <w:sz w:val="28"/>
          <w:szCs w:val="28"/>
        </w:rPr>
        <w:t xml:space="preserve"> </w:t>
      </w:r>
      <w:r w:rsidR="001354FB">
        <w:rPr>
          <w:rFonts w:ascii="Times New Roman" w:hAnsi="Times New Roman" w:cs="Times New Roman"/>
          <w:sz w:val="28"/>
          <w:szCs w:val="28"/>
        </w:rPr>
        <w:t>аналитической справки</w:t>
      </w:r>
      <w:r w:rsidR="004A5C3E">
        <w:rPr>
          <w:rFonts w:ascii="Times New Roman" w:hAnsi="Times New Roman" w:cs="Times New Roman"/>
          <w:sz w:val="28"/>
          <w:szCs w:val="28"/>
        </w:rPr>
        <w:t xml:space="preserve"> состоит в </w:t>
      </w:r>
      <w:r w:rsidR="00C34592">
        <w:rPr>
          <w:rFonts w:ascii="Times New Roman" w:hAnsi="Times New Roman" w:cs="Times New Roman"/>
          <w:sz w:val="28"/>
          <w:szCs w:val="28"/>
        </w:rPr>
        <w:t xml:space="preserve">обзоре </w:t>
      </w:r>
      <w:r>
        <w:rPr>
          <w:rFonts w:ascii="Times New Roman" w:hAnsi="Times New Roman" w:cs="Times New Roman"/>
          <w:sz w:val="28"/>
          <w:szCs w:val="28"/>
        </w:rPr>
        <w:t>расходования средств в системе здравоохранения, оценке</w:t>
      </w:r>
      <w:r w:rsidR="00C34592" w:rsidRPr="00C34592">
        <w:rPr>
          <w:rFonts w:ascii="Times New Roman" w:hAnsi="Times New Roman" w:cs="Times New Roman"/>
          <w:sz w:val="28"/>
          <w:szCs w:val="28"/>
        </w:rPr>
        <w:t xml:space="preserve"> использования ресурсов </w:t>
      </w:r>
      <w:r>
        <w:rPr>
          <w:rFonts w:ascii="Times New Roman" w:hAnsi="Times New Roman" w:cs="Times New Roman"/>
          <w:sz w:val="28"/>
          <w:szCs w:val="28"/>
        </w:rPr>
        <w:t>и выработке рекомендаций в целях нивелирования существующих рисков в систем</w:t>
      </w:r>
      <w:r w:rsidR="00FF0DCF">
        <w:rPr>
          <w:rFonts w:ascii="Times New Roman" w:hAnsi="Times New Roman" w:cs="Times New Roman"/>
          <w:sz w:val="28"/>
          <w:szCs w:val="28"/>
        </w:rPr>
        <w:t>е</w:t>
      </w:r>
      <w:r w:rsidR="00B14053">
        <w:rPr>
          <w:rFonts w:ascii="Times New Roman" w:hAnsi="Times New Roman" w:cs="Times New Roman"/>
          <w:sz w:val="28"/>
          <w:szCs w:val="28"/>
        </w:rPr>
        <w:t xml:space="preserve"> финансирования здравоохранения.</w:t>
      </w:r>
    </w:p>
    <w:p w:rsidR="00FF0DCF" w:rsidRPr="00FF0DCF" w:rsidRDefault="00FF0DCF" w:rsidP="00FF0DCF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F0DCF" w:rsidRPr="00FF0DCF" w:rsidSect="00FF0DCF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331ABA" w:rsidRPr="00B14053" w:rsidRDefault="00331ABA" w:rsidP="00B14053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14053">
        <w:rPr>
          <w:color w:val="365F91" w:themeColor="accent1" w:themeShade="BF"/>
          <w:sz w:val="28"/>
          <w:szCs w:val="28"/>
        </w:rPr>
        <w:lastRenderedPageBreak/>
        <w:t>Описание проблемы</w:t>
      </w:r>
    </w:p>
    <w:p w:rsidR="00221469" w:rsidRPr="00B14053" w:rsidRDefault="000D628D" w:rsidP="000639A5">
      <w:pPr>
        <w:pStyle w:val="3"/>
        <w:spacing w:before="0" w:after="120"/>
        <w:ind w:firstLine="709"/>
        <w:rPr>
          <w:sz w:val="28"/>
        </w:rPr>
      </w:pPr>
      <w:r w:rsidRPr="00B14053">
        <w:rPr>
          <w:sz w:val="28"/>
        </w:rPr>
        <w:t>Расходы на здравоохранение в 2017 году</w:t>
      </w:r>
    </w:p>
    <w:p w:rsidR="000639A5" w:rsidRDefault="000639A5" w:rsidP="000639A5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  <w:sectPr w:rsidR="000639A5" w:rsidSect="00FF0DCF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D628D" w:rsidRDefault="000D628D" w:rsidP="000639A5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Общие расходы на здравоохранение</w:t>
      </w:r>
      <w:r w:rsidR="00585EEB">
        <w:rPr>
          <w:rFonts w:ascii="Times New Roman" w:hAnsi="Times New Roman" w:cs="Times New Roman"/>
          <w:sz w:val="28"/>
        </w:rPr>
        <w:t xml:space="preserve"> (ОРЗ)</w:t>
      </w:r>
      <w:r>
        <w:rPr>
          <w:rFonts w:ascii="Times New Roman" w:hAnsi="Times New Roman" w:cs="Times New Roman"/>
          <w:sz w:val="28"/>
        </w:rPr>
        <w:t xml:space="preserve"> в 2017 году составили 1 трлн. 759 млрд. тенге и показывают снижение на 0,1% по сравнению с предыдущим годом (1 трлн</w:t>
      </w:r>
      <w:r w:rsidR="006E36AD" w:rsidRPr="006E36A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762 млрд. тенге). ОРЗ составили 3,3% от ВВП, что более чем в 2 раза меньше среднего показателя с</w:t>
      </w:r>
      <w:r w:rsidR="00A1330A">
        <w:rPr>
          <w:rFonts w:ascii="Times New Roman" w:hAnsi="Times New Roman" w:cs="Times New Roman"/>
          <w:sz w:val="28"/>
        </w:rPr>
        <w:t>реди стран ОЭСР в 2017 году</w:t>
      </w:r>
      <w:r>
        <w:rPr>
          <w:rFonts w:ascii="Times New Roman" w:hAnsi="Times New Roman" w:cs="Times New Roman"/>
          <w:sz w:val="28"/>
        </w:rPr>
        <w:t>(8,8%)</w:t>
      </w:r>
      <w:r w:rsidR="008934E9">
        <w:rPr>
          <w:rStyle w:val="aa"/>
          <w:rFonts w:ascii="Times New Roman" w:hAnsi="Times New Roman" w:cs="Times New Roman"/>
          <w:sz w:val="28"/>
        </w:rPr>
        <w:footnoteReference w:id="1"/>
      </w:r>
      <w:r>
        <w:rPr>
          <w:rFonts w:ascii="Times New Roman" w:hAnsi="Times New Roman" w:cs="Times New Roman"/>
          <w:sz w:val="28"/>
        </w:rPr>
        <w:t xml:space="preserve">. </w:t>
      </w:r>
    </w:p>
    <w:p w:rsidR="000639A5" w:rsidRDefault="000639A5" w:rsidP="00221469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  <w:sectPr w:rsidR="000639A5" w:rsidSect="000639A5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A1330A" w:rsidRPr="00221469" w:rsidRDefault="00221469" w:rsidP="00221469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7EF2EAD0" wp14:editId="482724EC">
            <wp:extent cx="5676406" cy="2018806"/>
            <wp:effectExtent l="0" t="0" r="635" b="63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D1F83" w:rsidRPr="00221469" w:rsidRDefault="00A1330A" w:rsidP="00221469">
      <w:pPr>
        <w:autoSpaceDE w:val="0"/>
        <w:autoSpaceDN w:val="0"/>
        <w:adjustRightInd w:val="0"/>
        <w:spacing w:after="12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</w:rPr>
        <w:sectPr w:rsidR="002D1F83" w:rsidRPr="00221469" w:rsidSect="00FF0DCF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Cs w:val="28"/>
          <w:lang w:val="kk-KZ"/>
        </w:rPr>
        <w:tab/>
      </w:r>
      <w:r w:rsidRPr="00A1330A">
        <w:rPr>
          <w:rFonts w:ascii="Times New Roman" w:hAnsi="Times New Roman" w:cs="Times New Roman"/>
          <w:b/>
          <w:i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Cs w:val="28"/>
          <w:lang w:val="kk-KZ"/>
        </w:rPr>
        <w:t>Рисунок 1. Общие расходы на здравоохранение (ОРЗ) и доли ОРЗ от ВВП в 2010-2017 годы</w:t>
      </w:r>
    </w:p>
    <w:p w:rsidR="002D1F83" w:rsidRDefault="002D1F83" w:rsidP="00A1330A">
      <w:pPr>
        <w:spacing w:after="120" w:line="240" w:lineRule="auto"/>
        <w:jc w:val="both"/>
        <w:rPr>
          <w:rFonts w:ascii="Times New Roman" w:hAnsi="Times New Roman" w:cs="Times New Roman"/>
          <w:sz w:val="28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E8291C" w:rsidRPr="00E8291C" w:rsidRDefault="000D628D" w:rsidP="00A1330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структуре общих расходов, государственные расходы составляют 58%, что выше показателя за предыдущий год на 7,8%, в то время доля частных </w:t>
      </w:r>
      <w:r>
        <w:rPr>
          <w:rFonts w:ascii="Times New Roman" w:hAnsi="Times New Roman" w:cs="Times New Roman"/>
          <w:sz w:val="28"/>
        </w:rPr>
        <w:lastRenderedPageBreak/>
        <w:t xml:space="preserve">расходов составляет 36%, что показывает снижение на 1,9% по сравнению с предыдущим годом, а также 6% от зарубежных трансфертов. </w:t>
      </w:r>
    </w:p>
    <w:p w:rsidR="002D1F83" w:rsidRPr="002D1F83" w:rsidRDefault="002D1F83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</w:rPr>
        <w:sectPr w:rsidR="002D1F83" w:rsidRPr="002D1F83" w:rsidSect="002D1F83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E8291C" w:rsidRDefault="00E8291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cs="Times New Roman"/>
          <w:bCs/>
          <w:noProof/>
          <w:szCs w:val="28"/>
          <w:lang w:eastAsia="ru-RU"/>
        </w:rPr>
        <w:lastRenderedPageBreak/>
        <w:drawing>
          <wp:inline distT="0" distB="0" distL="0" distR="0" wp14:anchorId="61F41C72" wp14:editId="6CF43720">
            <wp:extent cx="5252484" cy="1881963"/>
            <wp:effectExtent l="0" t="0" r="5715" b="444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754B" w:rsidRPr="00386490" w:rsidRDefault="00674B6B" w:rsidP="0011419C">
      <w:pPr>
        <w:spacing w:after="120" w:line="240" w:lineRule="auto"/>
        <w:ind w:firstLine="1701"/>
        <w:jc w:val="both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2. </w:t>
      </w:r>
      <w:r w:rsidR="00B31046" w:rsidRPr="00B31046">
        <w:rPr>
          <w:rFonts w:ascii="Times New Roman" w:hAnsi="Times New Roman" w:cs="Times New Roman"/>
          <w:b/>
          <w:i/>
          <w:szCs w:val="28"/>
          <w:lang w:val="kk-KZ"/>
        </w:rPr>
        <w:t>Структура общих расходов на здравоохранение в 2017 году</w:t>
      </w:r>
    </w:p>
    <w:p w:rsidR="002D1F83" w:rsidRDefault="002D1F83" w:rsidP="0011419C">
      <w:pPr>
        <w:pStyle w:val="a5"/>
        <w:spacing w:after="120" w:line="240" w:lineRule="auto"/>
        <w:ind w:firstLine="709"/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D628D" w:rsidRPr="00B14053" w:rsidRDefault="000D628D" w:rsidP="0011419C">
      <w:pPr>
        <w:pStyle w:val="a5"/>
        <w:spacing w:after="120" w:line="240" w:lineRule="auto"/>
        <w:ind w:firstLine="709"/>
        <w:rPr>
          <w:sz w:val="28"/>
        </w:rPr>
      </w:pPr>
      <w:r w:rsidRPr="00B14053">
        <w:rPr>
          <w:sz w:val="28"/>
        </w:rPr>
        <w:lastRenderedPageBreak/>
        <w:t>Государственные расходы</w:t>
      </w:r>
    </w:p>
    <w:p w:rsidR="000D628D" w:rsidRDefault="000D628D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Государственные расходы на здравоохранение в 2017 году составили 1 трлн. 024 млрд. тг. или  1,9% ВВП. Аналогичный средний показатель среди стран ОЭСР в 2017 году – 6,3% ВВП. Государственные расходы на здравоохранение на душу населения в Казахстане составили 56 389 тенге.</w:t>
      </w:r>
    </w:p>
    <w:p w:rsidR="00026D3F" w:rsidRPr="00026D3F" w:rsidRDefault="00026D3F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3F">
        <w:rPr>
          <w:rFonts w:ascii="Times New Roman" w:hAnsi="Times New Roman" w:cs="Times New Roman"/>
          <w:sz w:val="28"/>
          <w:szCs w:val="28"/>
        </w:rPr>
        <w:t xml:space="preserve">В разрезе уровней государственного бюджета, 66% расходов понесли государственные органы республиканского уровня, 34% – местного уровня (с учетом </w:t>
      </w:r>
      <w:r w:rsidRPr="00026D3F">
        <w:rPr>
          <w:rFonts w:ascii="Times New Roman" w:hAnsi="Times New Roman" w:cs="Times New Roman"/>
          <w:sz w:val="28"/>
          <w:szCs w:val="28"/>
        </w:rPr>
        <w:lastRenderedPageBreak/>
        <w:t>трансфертов с республиканского уровня – 28%).</w:t>
      </w:r>
    </w:p>
    <w:p w:rsidR="00026D3F" w:rsidRPr="00026D3F" w:rsidRDefault="00026D3F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3F">
        <w:rPr>
          <w:rFonts w:ascii="Times New Roman" w:hAnsi="Times New Roman" w:cs="Times New Roman"/>
          <w:sz w:val="28"/>
          <w:szCs w:val="28"/>
        </w:rPr>
        <w:t>Суммарные расходы государственных органов системы здравоохранения (Министерства здравоохранения РК и управлений здравоохранения областей и городов республиканского значения)</w:t>
      </w:r>
      <w:r w:rsidR="00C450C8">
        <w:rPr>
          <w:rFonts w:ascii="Times New Roman" w:hAnsi="Times New Roman" w:cs="Times New Roman"/>
          <w:sz w:val="28"/>
          <w:szCs w:val="28"/>
        </w:rPr>
        <w:t xml:space="preserve"> составили 963 </w:t>
      </w:r>
      <w:proofErr w:type="spellStart"/>
      <w:r w:rsidR="00C450C8">
        <w:rPr>
          <w:rFonts w:ascii="Times New Roman" w:hAnsi="Times New Roman" w:cs="Times New Roman"/>
          <w:sz w:val="28"/>
          <w:szCs w:val="28"/>
        </w:rPr>
        <w:t>млрд.тг</w:t>
      </w:r>
      <w:proofErr w:type="spellEnd"/>
      <w:r w:rsidR="00C450C8">
        <w:rPr>
          <w:rFonts w:ascii="Times New Roman" w:hAnsi="Times New Roman" w:cs="Times New Roman"/>
          <w:sz w:val="28"/>
          <w:szCs w:val="28"/>
        </w:rPr>
        <w:t>., или 1,</w:t>
      </w:r>
      <w:r w:rsidR="00C450C8" w:rsidRPr="00C450C8">
        <w:rPr>
          <w:rFonts w:ascii="Times New Roman" w:hAnsi="Times New Roman" w:cs="Times New Roman"/>
          <w:sz w:val="28"/>
          <w:szCs w:val="28"/>
        </w:rPr>
        <w:t>8</w:t>
      </w:r>
      <w:r w:rsidRPr="00026D3F">
        <w:rPr>
          <w:rFonts w:ascii="Times New Roman" w:hAnsi="Times New Roman" w:cs="Times New Roman"/>
          <w:sz w:val="28"/>
          <w:szCs w:val="28"/>
        </w:rPr>
        <w:t>% ВВП.</w:t>
      </w:r>
    </w:p>
    <w:p w:rsidR="00026D3F" w:rsidRDefault="00026D3F" w:rsidP="0011419C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D3F">
        <w:rPr>
          <w:rFonts w:ascii="Times New Roman" w:hAnsi="Times New Roman" w:cs="Times New Roman"/>
          <w:sz w:val="28"/>
          <w:szCs w:val="28"/>
        </w:rPr>
        <w:t>Государственные расходы в 2017 году (1 трлн. 024 млрд. тенге) выросли по сравнению с предыдущим годом (948 млрд. тенге) на 8%</w:t>
      </w:r>
      <w:r w:rsidR="00512D7F" w:rsidRPr="00512D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2D7F">
        <w:rPr>
          <w:rFonts w:ascii="Times New Roman" w:hAnsi="Times New Roman" w:cs="Times New Roman"/>
          <w:sz w:val="28"/>
          <w:szCs w:val="28"/>
          <w:lang w:val="kk-KZ"/>
        </w:rPr>
        <w:t xml:space="preserve">и в 2.5 раза по сравнению с 2010 годом в номинальном значении. </w:t>
      </w:r>
      <w:r w:rsidR="00512D7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 реальном значении, учитывая инфляцию, рост в 2017 году составляет всего лишь 0,8%.  </w:t>
      </w:r>
      <w:r w:rsidRPr="00026D3F">
        <w:rPr>
          <w:rFonts w:ascii="Times New Roman" w:hAnsi="Times New Roman" w:cs="Times New Roman"/>
          <w:sz w:val="28"/>
          <w:szCs w:val="28"/>
        </w:rPr>
        <w:t xml:space="preserve">  Процентные доли государственных расходов от ВВП в 2010 – 2017 гг. колебались вокруг значения в 1,8-2,1%. После роста в 2012 году этот показатель пришел к значению 1,8% в 2013 году и вырос до значения 2,0% к 2016 году, </w:t>
      </w:r>
      <w:r w:rsidR="001130D4">
        <w:rPr>
          <w:rFonts w:ascii="Times New Roman" w:hAnsi="Times New Roman" w:cs="Times New Roman"/>
          <w:sz w:val="28"/>
          <w:szCs w:val="28"/>
        </w:rPr>
        <w:t>сократившись до 1,9% в 2017 году</w:t>
      </w:r>
      <w:r w:rsidRPr="00026D3F">
        <w:rPr>
          <w:rFonts w:ascii="Times New Roman" w:hAnsi="Times New Roman" w:cs="Times New Roman"/>
          <w:sz w:val="28"/>
          <w:szCs w:val="28"/>
        </w:rPr>
        <w:t>.</w:t>
      </w:r>
      <w:r w:rsidR="00512D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F83" w:rsidRDefault="002D1F83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2D3C54" w:rsidRDefault="002D3C54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FFC5FC9" wp14:editId="3FF386B9">
            <wp:extent cx="5581403" cy="1923803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A1311" w:rsidRPr="00512D7F" w:rsidRDefault="00674B6B" w:rsidP="0011419C">
      <w:pPr>
        <w:tabs>
          <w:tab w:val="left" w:pos="-142"/>
        </w:tabs>
        <w:spacing w:after="12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3. </w:t>
      </w:r>
      <w:r w:rsidR="00512D7F">
        <w:rPr>
          <w:rFonts w:ascii="Times New Roman" w:hAnsi="Times New Roman" w:cs="Times New Roman"/>
          <w:b/>
          <w:i/>
          <w:szCs w:val="28"/>
          <w:lang w:val="kk-KZ"/>
        </w:rPr>
        <w:t>Номинальные и реальные (в ценах 2010 года) государственные расходы на здравоохранение в динамике, в млрд. тенге.</w:t>
      </w:r>
    </w:p>
    <w:p w:rsidR="002D1F83" w:rsidRDefault="002D1F83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DA1311" w:rsidRPr="00CA6DBF" w:rsidRDefault="00C33C7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</w:t>
      </w:r>
      <w:r w:rsidR="00A313D4" w:rsidRPr="00A313D4">
        <w:rPr>
          <w:rFonts w:ascii="Times New Roman" w:hAnsi="Times New Roman" w:cs="Times New Roman"/>
          <w:sz w:val="28"/>
          <w:szCs w:val="28"/>
        </w:rPr>
        <w:t xml:space="preserve"> государственных расходов на здравоохранение 41,3%  занимает стационарная помощь. 28,2 % направлялись в 2017 году на амбулаторно-поликлиническую помощь. Приобретение лекарственных средств и изделий медицинского назначения  обходится в 8,8% текущих государственных расходов. На вспомогательные услуги направлялось 7,5 средств, 6,4% на административные услуги, и 0,6% на прочие услуги. Наконец, лишь 0,05% государственных средств расходовались в 2017 году на реабилитационную помощь.</w:t>
      </w:r>
    </w:p>
    <w:p w:rsidR="002D1F83" w:rsidRDefault="002D1F83" w:rsidP="001141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B6B" w:rsidRDefault="00674B6B" w:rsidP="001141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74B6B" w:rsidSect="002D1F83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DA1311" w:rsidRDefault="00DA1311" w:rsidP="001141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A49">
        <w:rPr>
          <w:rFonts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083A3B98" wp14:editId="3D0CE546">
            <wp:extent cx="6543304" cy="3241964"/>
            <wp:effectExtent l="0" t="0" r="0" b="0"/>
            <wp:docPr id="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33C7C" w:rsidRPr="007D1288" w:rsidRDefault="00674B6B" w:rsidP="0011419C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4. </w:t>
      </w:r>
      <w:r w:rsidR="00F614B7" w:rsidRPr="00F614B7">
        <w:rPr>
          <w:rFonts w:ascii="Times New Roman" w:hAnsi="Times New Roman" w:cs="Times New Roman"/>
          <w:b/>
          <w:i/>
          <w:szCs w:val="28"/>
          <w:lang w:val="kk-KZ"/>
        </w:rPr>
        <w:t>Распределение государственных расходов по услугам, %</w:t>
      </w:r>
    </w:p>
    <w:p w:rsidR="002D1F83" w:rsidRDefault="002D1F83" w:rsidP="0011419C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A47955" w:rsidRPr="00A47955" w:rsidRDefault="00A47955" w:rsidP="0011419C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7955">
        <w:rPr>
          <w:rFonts w:ascii="Times New Roman" w:hAnsi="Times New Roman" w:cs="Times New Roman"/>
          <w:sz w:val="28"/>
          <w:szCs w:val="28"/>
          <w:lang w:val="kk-KZ"/>
        </w:rPr>
        <w:t>В динамике и в сравнении с ОЭСР картина выглядит следующим образом:</w:t>
      </w:r>
    </w:p>
    <w:p w:rsidR="002D1F83" w:rsidRDefault="002D1F83" w:rsidP="0011419C">
      <w:pPr>
        <w:tabs>
          <w:tab w:val="left" w:pos="0"/>
        </w:tabs>
        <w:spacing w:after="120" w:line="240" w:lineRule="auto"/>
        <w:ind w:firstLine="851"/>
        <w:rPr>
          <w:rFonts w:eastAsia="Calibri" w:cs="Times New Roman"/>
          <w:sz w:val="24"/>
          <w:szCs w:val="24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A47955" w:rsidRPr="00514A49" w:rsidRDefault="00A47955" w:rsidP="0011419C">
      <w:pPr>
        <w:tabs>
          <w:tab w:val="left" w:pos="0"/>
        </w:tabs>
        <w:spacing w:after="120" w:line="240" w:lineRule="auto"/>
        <w:ind w:firstLine="851"/>
        <w:rPr>
          <w:rFonts w:eastAsia="Calibri" w:cs="Times New Roman"/>
          <w:sz w:val="24"/>
          <w:szCs w:val="24"/>
        </w:rPr>
      </w:pPr>
      <w:r w:rsidRPr="00514A49">
        <w:rPr>
          <w:rFonts w:eastAsia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8AC9E6B" wp14:editId="61462019">
            <wp:extent cx="5807034" cy="2980707"/>
            <wp:effectExtent l="0" t="0" r="3810" b="0"/>
            <wp:docPr id="10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47955" w:rsidRPr="00FD2D91" w:rsidRDefault="00674B6B" w:rsidP="0011419C">
      <w:pPr>
        <w:tabs>
          <w:tab w:val="left" w:pos="0"/>
        </w:tabs>
        <w:spacing w:after="120" w:line="240" w:lineRule="auto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5. </w:t>
      </w:r>
      <w:r w:rsidR="00A47955" w:rsidRPr="00F24926">
        <w:rPr>
          <w:rFonts w:ascii="Times New Roman" w:hAnsi="Times New Roman" w:cs="Times New Roman"/>
          <w:b/>
          <w:i/>
          <w:szCs w:val="28"/>
          <w:lang w:val="kk-KZ"/>
        </w:rPr>
        <w:t>Сравнение распределения государственных расходов по услугам в РК и странах ОЭСР</w:t>
      </w:r>
    </w:p>
    <w:p w:rsidR="002D1F83" w:rsidRDefault="002D1F83" w:rsidP="0011419C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2D1F8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9173AB" w:rsidRPr="00CA6DBF" w:rsidRDefault="000D628D" w:rsidP="0011419C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При анализе структуры государственных расходов в разрезе услуг в 2010-2017 гг. отмечается преобладание расходов на стационарную помощь, на которые были направлены в среднем 52,8% средств.  Несмотря на увеличение расходов на АПП почти в 2 раза и стремления государством повысить приоритет АПП, финансирование стационарной помощи продолжает оставаться на высоком уровне. В странах ОЭСР, для сравнения, на стационарную помощь направляется 34% средств государственного бюджета, 26% на амбулаторную помощь, и 16% на услуги дневного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стационара.  В то время как в Казахстане на  дневной стационар приходится всего л</w:t>
      </w:r>
      <w:r w:rsidR="00FD2D91">
        <w:rPr>
          <w:rFonts w:ascii="Times New Roman" w:hAnsi="Times New Roman" w:cs="Times New Roman"/>
          <w:sz w:val="28"/>
          <w:szCs w:val="28"/>
          <w:lang w:val="kk-KZ"/>
        </w:rPr>
        <w:t>ишь 5% государственных расходов</w:t>
      </w:r>
    </w:p>
    <w:p w:rsidR="000D628D" w:rsidRPr="000D628D" w:rsidRDefault="000D628D" w:rsidP="0011419C">
      <w:pPr>
        <w:pStyle w:val="a5"/>
        <w:spacing w:after="120" w:line="240" w:lineRule="auto"/>
        <w:ind w:firstLine="709"/>
      </w:pPr>
      <w:r w:rsidRPr="00B14053">
        <w:rPr>
          <w:sz w:val="28"/>
        </w:rPr>
        <w:t>Частные расходы</w:t>
      </w:r>
    </w:p>
    <w:p w:rsidR="000D628D" w:rsidRDefault="000D628D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Частные расходы в 2017 году составили 626,9 млрд. тенге или 1% ВВП и 36% от общих расходов на здравоохранение. </w:t>
      </w:r>
    </w:p>
    <w:p w:rsidR="00157316" w:rsidRPr="00752268" w:rsidRDefault="000D628D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структуре частные расходы включают: прямые платежи населения – 31,3% (550 млрд. тенге),  расходы предприятий – 3,1% (54 млрд. тенге), средства ДМС - 1,3% (22 млрд.тг.).</w:t>
      </w:r>
    </w:p>
    <w:p w:rsidR="002D1F83" w:rsidRPr="006E36AD" w:rsidRDefault="002D1F83" w:rsidP="0011419C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2D1F83" w:rsidRPr="006E36AD" w:rsidSect="002D1F83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0D628D" w:rsidRDefault="000D628D" w:rsidP="0011419C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noProof/>
          <w:lang w:eastAsia="ru-RU"/>
        </w:rPr>
        <w:lastRenderedPageBreak/>
        <w:drawing>
          <wp:inline distT="0" distB="0" distL="0" distR="0" wp14:anchorId="3EBD3336" wp14:editId="7B6261C0">
            <wp:extent cx="5284381" cy="2052084"/>
            <wp:effectExtent l="0" t="0" r="0" b="571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D628D" w:rsidRDefault="00674B6B" w:rsidP="0011419C">
      <w:pPr>
        <w:spacing w:after="120" w:line="240" w:lineRule="auto"/>
        <w:ind w:left="567" w:hanging="567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6. </w:t>
      </w:r>
      <w:r w:rsidR="000D628D">
        <w:rPr>
          <w:rFonts w:ascii="Times New Roman" w:hAnsi="Times New Roman" w:cs="Times New Roman"/>
          <w:b/>
          <w:i/>
          <w:szCs w:val="28"/>
          <w:lang w:val="kk-KZ"/>
        </w:rPr>
        <w:t>Номинальные и реальные (в ценах 2010 года) частные расходы на здравоохранение в динамике, в млрд. тенге.</w:t>
      </w:r>
    </w:p>
    <w:p w:rsidR="00674B6B" w:rsidRDefault="00674B6B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674B6B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D628D" w:rsidRPr="00386490" w:rsidRDefault="000D628D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 2017 году отмечается снижение частных на 2,9% с 645,6 до 626,9 млрд. тенге </w:t>
      </w:r>
      <w:r>
        <w:rPr>
          <w:rFonts w:ascii="Times New Roman" w:hAnsi="Times New Roman" w:cs="Times New Roman"/>
          <w:sz w:val="28"/>
          <w:szCs w:val="28"/>
        </w:rPr>
        <w:t>в номинальном значении и на 9,3% в реальном значении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это обуславливается снижением расходов на фармацевтические, а также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медицинские и ортопедпические товары.</w:t>
      </w:r>
      <w:r>
        <w:rPr>
          <w:rFonts w:ascii="Times New Roman" w:hAnsi="Times New Roman" w:cs="Times New Roman"/>
          <w:sz w:val="28"/>
          <w:szCs w:val="28"/>
        </w:rPr>
        <w:t xml:space="preserve"> Расходы на медицинские услуги (стационарная, амбулаторная и реабилитационная помощь) в 2017 году выросли на 14,8% по сравнению с предыдущим годом. </w:t>
      </w:r>
    </w:p>
    <w:p w:rsidR="00674B6B" w:rsidRDefault="00674B6B" w:rsidP="0011419C">
      <w:pPr>
        <w:spacing w:after="120" w:line="240" w:lineRule="auto"/>
        <w:ind w:left="567"/>
        <w:rPr>
          <w:rFonts w:ascii="Times New Roman" w:hAnsi="Times New Roman" w:cs="Times New Roman"/>
          <w:b/>
          <w:i/>
          <w:szCs w:val="28"/>
        </w:rPr>
        <w:sectPr w:rsidR="00674B6B" w:rsidSect="00674B6B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776249" w:rsidRPr="00B31046" w:rsidRDefault="000D628D" w:rsidP="0011419C">
      <w:pPr>
        <w:spacing w:after="120" w:line="240" w:lineRule="auto"/>
        <w:ind w:left="567"/>
        <w:rPr>
          <w:rFonts w:ascii="Times New Roman" w:hAnsi="Times New Roman" w:cs="Times New Roman"/>
          <w:b/>
          <w:i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ECE5FAD" wp14:editId="6E393441">
            <wp:extent cx="5628904" cy="3099460"/>
            <wp:effectExtent l="0" t="0" r="0" b="57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D628D" w:rsidRDefault="00674B6B" w:rsidP="0011419C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7. </w:t>
      </w:r>
      <w:r w:rsidR="000D628D">
        <w:rPr>
          <w:rFonts w:ascii="Times New Roman" w:hAnsi="Times New Roman" w:cs="Times New Roman"/>
          <w:b/>
          <w:i/>
          <w:szCs w:val="28"/>
          <w:lang w:val="kk-KZ"/>
        </w:rPr>
        <w:t>Частные расходы на здравоохранение в разрезе услуг в динамитке с 2010 по 2017 годы (в млрд. тенге)</w:t>
      </w:r>
    </w:p>
    <w:p w:rsidR="00674B6B" w:rsidRDefault="00674B6B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674B6B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D628D" w:rsidRDefault="0022447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447C">
        <w:rPr>
          <w:rFonts w:ascii="Times New Roman" w:hAnsi="Times New Roman" w:cs="Times New Roman"/>
          <w:sz w:val="28"/>
          <w:szCs w:val="28"/>
          <w:lang w:val="kk-KZ"/>
        </w:rPr>
        <w:lastRenderedPageBreak/>
        <w:t>Несмотря на понижение частных расходов в 2017 году, их величина по прежнему является больше среднего значения</w:t>
      </w:r>
      <w:r w:rsidR="0045024E">
        <w:rPr>
          <w:rFonts w:ascii="Times New Roman" w:hAnsi="Times New Roman" w:cs="Times New Roman"/>
          <w:sz w:val="28"/>
          <w:szCs w:val="28"/>
          <w:lang w:val="kk-KZ"/>
        </w:rPr>
        <w:t>, чем</w:t>
      </w:r>
      <w:r w:rsidR="007D494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Pr="0022447C">
        <w:rPr>
          <w:rFonts w:ascii="Times New Roman" w:hAnsi="Times New Roman" w:cs="Times New Roman"/>
          <w:sz w:val="28"/>
          <w:szCs w:val="28"/>
          <w:lang w:val="kk-KZ"/>
        </w:rPr>
        <w:t xml:space="preserve"> в страна</w:t>
      </w:r>
      <w:r w:rsidR="0045024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22447C">
        <w:rPr>
          <w:rFonts w:ascii="Times New Roman" w:hAnsi="Times New Roman" w:cs="Times New Roman"/>
          <w:sz w:val="28"/>
          <w:szCs w:val="28"/>
          <w:lang w:val="kk-KZ"/>
        </w:rPr>
        <w:t xml:space="preserve"> ОЭСР – 26,8%</w:t>
      </w:r>
      <w:r w:rsidR="008934E9">
        <w:rPr>
          <w:rStyle w:val="aa"/>
          <w:rFonts w:ascii="Times New Roman" w:hAnsi="Times New Roman" w:cs="Times New Roman"/>
          <w:sz w:val="28"/>
          <w:szCs w:val="28"/>
          <w:lang w:val="kk-KZ"/>
        </w:rPr>
        <w:footnoteReference w:id="2"/>
      </w:r>
      <w:r w:rsidR="004502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934E9" w:rsidRDefault="008934E9" w:rsidP="008934E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0E171455" wp14:editId="2673C7FD">
            <wp:extent cx="6056415" cy="2458192"/>
            <wp:effectExtent l="0" t="0" r="1905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934E9" w:rsidRDefault="008934E9" w:rsidP="008C0533">
      <w:pPr>
        <w:spacing w:after="120" w:line="240" w:lineRule="auto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8. </w:t>
      </w:r>
      <w:r w:rsidRPr="00D6233D">
        <w:rPr>
          <w:rFonts w:ascii="Times New Roman" w:hAnsi="Times New Roman" w:cs="Times New Roman"/>
          <w:b/>
          <w:i/>
          <w:szCs w:val="28"/>
          <w:lang w:val="kk-KZ"/>
        </w:rPr>
        <w:t>Частные расходы от текущих расходов на здравоохранение в странах ОЭСР и в Казахстане</w:t>
      </w:r>
    </w:p>
    <w:p w:rsidR="008934E9" w:rsidRDefault="008934E9" w:rsidP="008934E9">
      <w:pPr>
        <w:tabs>
          <w:tab w:val="left" w:pos="42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934E9" w:rsidRPr="008934E9" w:rsidRDefault="008934E9" w:rsidP="008934E9">
      <w:pPr>
        <w:rPr>
          <w:rFonts w:ascii="Times New Roman" w:hAnsi="Times New Roman" w:cs="Times New Roman"/>
          <w:sz w:val="28"/>
          <w:szCs w:val="28"/>
          <w:lang w:val="kk-KZ"/>
        </w:rPr>
        <w:sectPr w:rsidR="008934E9" w:rsidRPr="008934E9" w:rsidSect="008934E9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74B6B" w:rsidRDefault="00674B6B" w:rsidP="00C40546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sectPr w:rsidR="00674B6B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76236E" w:rsidRPr="00B06C67" w:rsidRDefault="0076236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B06C67"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  <w:lastRenderedPageBreak/>
        <w:t>Региональные счета здравоохранения</w:t>
      </w:r>
    </w:p>
    <w:p w:rsidR="0076236E" w:rsidRPr="0076236E" w:rsidRDefault="0076236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В 2017 году общие расходы на уровне местного бюджета на здравоохранение значительно сократились по сравнению с 2016 годом. Это связано с переходом некоторых бюджетных программ на республиканский уровень. Так, если в 2016 году общие расходы местного бюджета составили 653,7 млрд. тенге, то в 2017 году составили – 307,6 млрд. тенге. </w:t>
      </w:r>
    </w:p>
    <w:p w:rsidR="00F37AC2" w:rsidRPr="00674B6B" w:rsidRDefault="0076236E" w:rsidP="00674B6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Наибольший объем расходов показал г. Алматы, где затраты на здравоохранение составили 114,0 млрд. тенге, а наименьший показатель отмечается в Северо-Казахстанской  области – 14,2 </w:t>
      </w:r>
      <w:r w:rsidR="00674B6B">
        <w:rPr>
          <w:rFonts w:ascii="Times New Roman" w:hAnsi="Times New Roman" w:cs="Times New Roman"/>
          <w:sz w:val="28"/>
          <w:szCs w:val="28"/>
          <w:lang w:val="kk-KZ"/>
        </w:rPr>
        <w:t xml:space="preserve">млрд. </w:t>
      </w:r>
      <w:r w:rsidR="00674B6B">
        <w:rPr>
          <w:rFonts w:ascii="Times New Roman" w:hAnsi="Times New Roman" w:cs="Times New Roman"/>
          <w:sz w:val="28"/>
          <w:szCs w:val="28"/>
        </w:rPr>
        <w:t>т</w:t>
      </w:r>
      <w:r w:rsidR="00674B6B">
        <w:rPr>
          <w:rFonts w:ascii="Times New Roman" w:hAnsi="Times New Roman" w:cs="Times New Roman"/>
          <w:sz w:val="28"/>
          <w:szCs w:val="28"/>
          <w:lang w:val="kk-KZ"/>
        </w:rPr>
        <w:t>енге</w:t>
      </w:r>
      <w:r w:rsidR="00674B6B" w:rsidRPr="00674B6B">
        <w:rPr>
          <w:rFonts w:ascii="Times New Roman" w:hAnsi="Times New Roman" w:cs="Times New Roman"/>
          <w:sz w:val="28"/>
          <w:szCs w:val="28"/>
        </w:rPr>
        <w:t>.</w:t>
      </w:r>
    </w:p>
    <w:p w:rsidR="0076236E" w:rsidRPr="0076236E" w:rsidRDefault="0076236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>По показателям текущих расходов на здравоохранение также лидирует город Астана. Объяснением данному явлению может послужить расположение большинства медицинских организаций республиканского уровня, которые предоставляют услуги, как местным жителям, так и жителям населению других регионов.</w:t>
      </w:r>
    </w:p>
    <w:p w:rsidR="0076236E" w:rsidRPr="0076236E" w:rsidRDefault="0076236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Структура общих расходов на здравоохранение в разрезе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источников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>финансирования также не изменилась за последний год. Больше всего государственные средства аккумулировались в Южно-Казахстанской  области. Тем временем, в городе Алматы преобладают частные расходы, что составляют 56,3% от всех расходов, а государственные расходы в данном регионе показывают наименьший показатель по республике. Лидером по расходу предприятий на здравоохранение также остался город Астана, где данный показатель составил 30,9% от всех расходов на здравоохранение данного региона, что повысилось на 18,7% в сравнении с предыдущим годом. Также удельный вес средств предприятий в структуре расходов на здравоохранение имеют высокие показатели в западных регионах РК. Это обусловлено расположением большинства крупных предприятий с участием иностранного капитала в западных регионах и в городах республиканского значения.</w:t>
      </w:r>
    </w:p>
    <w:p w:rsidR="0022447C" w:rsidRPr="002D1F83" w:rsidRDefault="0076236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>По расходам домашних хозяйств на здравоохранение лидерами также остаются гг. Алматы и Астана. Население из собственных карманов меньше всего расходует в СКО, как и в 2015-2016 годах</w:t>
      </w:r>
      <w:r w:rsidR="0080715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4B6B" w:rsidRDefault="00674B6B" w:rsidP="007623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74B6B" w:rsidSect="00674B6B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7D1288" w:rsidRPr="002D1F83" w:rsidRDefault="007D1288" w:rsidP="007623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19C" w:rsidRDefault="00674B6B" w:rsidP="007623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3F0A"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1DA4E6EB" wp14:editId="5A3B7FAA">
            <wp:extent cx="5807034" cy="2992582"/>
            <wp:effectExtent l="0" t="19050" r="3810" b="3683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74B6B" w:rsidRPr="00674B6B" w:rsidRDefault="00674B6B" w:rsidP="007623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9. </w:t>
      </w:r>
      <w:r w:rsidRPr="00F37AC2">
        <w:rPr>
          <w:rFonts w:ascii="Times New Roman" w:hAnsi="Times New Roman" w:cs="Times New Roman"/>
          <w:b/>
          <w:i/>
          <w:szCs w:val="28"/>
          <w:lang w:val="kk-KZ"/>
        </w:rPr>
        <w:t>Общие расходы на здравоохранение в разрезе регионов в 2017г. (тыс. тенге)</w:t>
      </w:r>
    </w:p>
    <w:p w:rsidR="00674B6B" w:rsidRDefault="00674B6B" w:rsidP="0011419C">
      <w:pPr>
        <w:spacing w:after="120" w:line="24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sectPr w:rsidR="00674B6B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480A3B" w:rsidRPr="00B06C67" w:rsidRDefault="00E5294F" w:rsidP="00B06C67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06C67">
        <w:rPr>
          <w:color w:val="365F91" w:themeColor="accent1" w:themeShade="BF"/>
          <w:sz w:val="28"/>
          <w:szCs w:val="28"/>
        </w:rPr>
        <w:lastRenderedPageBreak/>
        <w:t>Варианты решения и их внедрение</w:t>
      </w:r>
    </w:p>
    <w:p w:rsidR="00E5294F" w:rsidRDefault="00E5294F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5294F" w:rsidSect="00E5294F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E12C0F" w:rsidRDefault="00E12C0F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расходов на здравоохранение в 2017 году, а также в динамике с 2010 года, показал рост общих расходов на здравоохранение в 2 раза за последние 8 лет, однако доля ОРЗ от ВВП остается небольшой по сравнению со странами ОЭСР и </w:t>
      </w:r>
      <w:r w:rsidR="005C3BF0">
        <w:rPr>
          <w:rFonts w:ascii="Times New Roman" w:hAnsi="Times New Roman" w:cs="Times New Roman"/>
          <w:sz w:val="28"/>
          <w:szCs w:val="28"/>
        </w:rPr>
        <w:t xml:space="preserve">ежегодно сокращается. Другими словами, благосостояние государства (ВВП) растет, а доля расходов населения на здравоохранение снижается. </w:t>
      </w:r>
    </w:p>
    <w:p w:rsidR="00E5294F" w:rsidRDefault="00F73CD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Также одним из предметом внимания являются н</w:t>
      </w:r>
      <w:r w:rsidR="005C3BF0" w:rsidRPr="00480A3B">
        <w:rPr>
          <w:rFonts w:ascii="Times New Roman" w:hAnsi="Times New Roman" w:cs="Times New Roman"/>
          <w:sz w:val="28"/>
          <w:szCs w:val="28"/>
          <w:lang w:val="kk-KZ"/>
        </w:rPr>
        <w:t xml:space="preserve">аблюдаемые в Казахстане высокие частные расходы создают угрозу доступности услуг здравоохранения, усиливают неравенство в уровне получения медицинских услуг и возлагают дополнительное бремя на беднейшие слои общества, связанное с необходимостью приобретения дорогостоящего лечения, с вытекающими последствиями для экономического </w:t>
      </w:r>
    </w:p>
    <w:p w:rsidR="00E5294F" w:rsidRDefault="00E5294F" w:rsidP="00E5294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3BF0" w:rsidRPr="00480A3B" w:rsidRDefault="005C3BF0" w:rsidP="00E5294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0A3B">
        <w:rPr>
          <w:rFonts w:ascii="Times New Roman" w:hAnsi="Times New Roman" w:cs="Times New Roman"/>
          <w:sz w:val="28"/>
          <w:szCs w:val="28"/>
          <w:lang w:val="kk-KZ"/>
        </w:rPr>
        <w:lastRenderedPageBreak/>
        <w:t>роста.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80A3B">
        <w:rPr>
          <w:rFonts w:ascii="Times New Roman" w:hAnsi="Times New Roman" w:cs="Times New Roman"/>
          <w:sz w:val="28"/>
          <w:szCs w:val="28"/>
          <w:lang w:val="kk-KZ"/>
        </w:rPr>
        <w:t>По оценкам ВОЗ, устойчивой считается такая система здравоохранения, в которой на долю частных расходов приходится не более 20%.</w:t>
      </w:r>
    </w:p>
    <w:p w:rsidR="005C3BF0" w:rsidRDefault="005C3BF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BF0">
        <w:rPr>
          <w:rFonts w:ascii="Times New Roman" w:hAnsi="Times New Roman" w:cs="Times New Roman"/>
          <w:sz w:val="28"/>
          <w:szCs w:val="28"/>
        </w:rPr>
        <w:t>Значительное ограничение бесплатного медицинского обеспечения или недостаточность его государственного финансирования приводит к росту доли частных расходов в результате вынужденного приобретения населением необходимой помощи за счет личных средств. С другой стороны, при увеличении государственного финансирования размер расходов из личных средств населения может увеличиваться за счет связанных трат, не покрываемых в рамках общественного здравоохранения (например, приобретение лекарственных препаратов), что может объяснить ситуацию по высокому уровню частных затрат в здравоохранении РК.</w:t>
      </w:r>
    </w:p>
    <w:p w:rsidR="005C3BF0" w:rsidRPr="00480A3B" w:rsidRDefault="005C3BF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0A3B">
        <w:rPr>
          <w:rFonts w:ascii="Times New Roman" w:hAnsi="Times New Roman" w:cs="Times New Roman"/>
          <w:sz w:val="28"/>
          <w:szCs w:val="28"/>
          <w:lang w:val="kk-KZ"/>
        </w:rPr>
        <w:lastRenderedPageBreak/>
        <w:t>Повышенный уровень частных расходов принято объяснять недостаточностью государственного финансирования и вызванной ею невозможностью получить необходимую помощь бесплатно в рамках общественной системы здравоохранения, но в действительности круг факторов, определяющих структуру расходов, может быть значительно шире.</w:t>
      </w:r>
    </w:p>
    <w:p w:rsidR="00C33C7C" w:rsidRDefault="00C33C7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C">
        <w:rPr>
          <w:rFonts w:ascii="Times New Roman" w:hAnsi="Times New Roman" w:cs="Times New Roman"/>
          <w:sz w:val="28"/>
          <w:szCs w:val="28"/>
        </w:rPr>
        <w:t xml:space="preserve">По итогам 2017 </w:t>
      </w:r>
      <w:proofErr w:type="gramStart"/>
      <w:r w:rsidRPr="00C33C7C">
        <w:rPr>
          <w:rFonts w:ascii="Times New Roman" w:hAnsi="Times New Roman" w:cs="Times New Roman"/>
          <w:sz w:val="28"/>
          <w:szCs w:val="28"/>
        </w:rPr>
        <w:t>года  30</w:t>
      </w:r>
      <w:proofErr w:type="gramEnd"/>
      <w:r w:rsidRPr="00C33C7C">
        <w:rPr>
          <w:rFonts w:ascii="Times New Roman" w:hAnsi="Times New Roman" w:cs="Times New Roman"/>
          <w:sz w:val="28"/>
          <w:szCs w:val="28"/>
        </w:rPr>
        <w:t xml:space="preserve">,2% от </w:t>
      </w:r>
      <w:r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C33C7C">
        <w:rPr>
          <w:rFonts w:ascii="Times New Roman" w:hAnsi="Times New Roman" w:cs="Times New Roman"/>
          <w:sz w:val="28"/>
          <w:szCs w:val="28"/>
        </w:rPr>
        <w:t>расходов на здравоохранения было направлено на стационарные услуги, в то время как доля финансирования  амбулато</w:t>
      </w:r>
      <w:r>
        <w:rPr>
          <w:rFonts w:ascii="Times New Roman" w:hAnsi="Times New Roman" w:cs="Times New Roman"/>
          <w:sz w:val="28"/>
          <w:szCs w:val="28"/>
        </w:rPr>
        <w:t xml:space="preserve">рного лечения составила  29,1% ОРЗ (28,3% в 2016 году), </w:t>
      </w:r>
      <w:r w:rsidRPr="00C33C7C">
        <w:rPr>
          <w:rFonts w:ascii="Times New Roman" w:hAnsi="Times New Roman" w:cs="Times New Roman"/>
          <w:sz w:val="28"/>
          <w:szCs w:val="28"/>
        </w:rPr>
        <w:t>что говорит о преобладании стационарных услуг в структуре финансирования здравоохранения, что отличает Казахстан от статистики ОЭСР, где в среднем 33% средств текущих расходов расходуется на амбулаторную помощь и 28% на стационарные услуги. Хотя, в сравнении с предыдущим годом отмечается рост расходов на амбулаторную помощь, что говорит о развитии сектора первичной помощи.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C7C" w:rsidRDefault="00C33C7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C6949">
        <w:rPr>
          <w:rFonts w:ascii="Times New Roman" w:hAnsi="Times New Roman" w:cs="Times New Roman"/>
          <w:sz w:val="28"/>
          <w:szCs w:val="28"/>
        </w:rPr>
        <w:t>асходы на реабилитаци</w:t>
      </w:r>
      <w:r w:rsidR="00B57C47">
        <w:rPr>
          <w:rFonts w:ascii="Times New Roman" w:hAnsi="Times New Roman" w:cs="Times New Roman"/>
          <w:sz w:val="28"/>
          <w:szCs w:val="28"/>
        </w:rPr>
        <w:t>онные услуги составили всего 0,8</w:t>
      </w:r>
      <w:r w:rsidRPr="007C6949">
        <w:rPr>
          <w:rFonts w:ascii="Times New Roman" w:hAnsi="Times New Roman" w:cs="Times New Roman"/>
          <w:sz w:val="28"/>
          <w:szCs w:val="28"/>
        </w:rPr>
        <w:t>% от всех средств направленных на здравоохранение. Данный факт может стать одной из причин дефицита финансирования здравоохранения, так как реабилитационные услуги, как и превентивные услуги, предотвращают ухудшение состояния человека, тем самым предотвращая повторные обращения и лечения осложнении.</w:t>
      </w:r>
    </w:p>
    <w:p w:rsidR="00C33C7C" w:rsidRPr="0030108D" w:rsidRDefault="00BA428D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30E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Учитывая </w:t>
      </w:r>
      <w:r w:rsidR="0030108D" w:rsidRPr="004330E5">
        <w:rPr>
          <w:rFonts w:ascii="Times New Roman" w:hAnsi="Times New Roman" w:cs="Times New Roman"/>
          <w:sz w:val="28"/>
          <w:szCs w:val="28"/>
          <w:lang w:val="kk-KZ"/>
        </w:rPr>
        <w:t xml:space="preserve">все вышеперечисленные ключевые проблемы финансирования здравоохранения, настоящий аналитическая справка предлагает следующие меры по их решению. </w:t>
      </w:r>
      <w:r w:rsidR="00C33C7C" w:rsidRPr="004330E5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AB2BF1" w:rsidRPr="004330E5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Республике Казахстан в настоящ</w:t>
      </w:r>
      <w:r w:rsidR="00C33C7C" w:rsidRPr="004330E5">
        <w:rPr>
          <w:rFonts w:ascii="Times New Roman" w:hAnsi="Times New Roman" w:cs="Times New Roman"/>
          <w:sz w:val="28"/>
          <w:szCs w:val="28"/>
          <w:lang w:val="kk-KZ"/>
        </w:rPr>
        <w:t xml:space="preserve">ее время является приоритетным поэтапное увеличение </w:t>
      </w:r>
      <w:r w:rsidR="00C33C7C" w:rsidRPr="004330E5">
        <w:rPr>
          <w:rFonts w:ascii="Times New Roman" w:hAnsi="Times New Roman" w:cs="Times New Roman"/>
          <w:sz w:val="28"/>
          <w:szCs w:val="28"/>
        </w:rPr>
        <w:t>расходов на медицинские услуги в рамках ГОБМП и ОСМС до 2023 года согласно поручению Президента страны в своем послании. Наряду с чем, является необходимым повышение роли первичной медико-санитарной помощи, повышение роли участковых врачей и ВОП,</w:t>
      </w:r>
      <w:r w:rsidR="00FF6239" w:rsidRPr="004330E5">
        <w:rPr>
          <w:rFonts w:ascii="Times New Roman" w:hAnsi="Times New Roman" w:cs="Times New Roman"/>
          <w:sz w:val="28"/>
          <w:szCs w:val="28"/>
        </w:rPr>
        <w:t xml:space="preserve"> покрытие растущей потребности населения в объеме некоторых медицинских услуг (реабилитация, онкология, высокотехнологичные медицинские услуги, паллиативная помощь)</w:t>
      </w:r>
      <w:r w:rsidRPr="004330E5">
        <w:rPr>
          <w:rFonts w:ascii="Times New Roman" w:hAnsi="Times New Roman" w:cs="Times New Roman"/>
          <w:sz w:val="28"/>
          <w:szCs w:val="28"/>
        </w:rPr>
        <w:t xml:space="preserve">, </w:t>
      </w:r>
      <w:r w:rsidR="00C33C7C" w:rsidRPr="004330E5">
        <w:rPr>
          <w:rFonts w:ascii="Times New Roman" w:hAnsi="Times New Roman" w:cs="Times New Roman"/>
          <w:sz w:val="28"/>
          <w:szCs w:val="28"/>
        </w:rPr>
        <w:t xml:space="preserve">а также увеличение объема специализированных услуг за счет увеличения человеческого капитала путем </w:t>
      </w:r>
      <w:r w:rsidR="00FF6239" w:rsidRPr="004330E5">
        <w:rPr>
          <w:rFonts w:ascii="Times New Roman" w:hAnsi="Times New Roman" w:cs="Times New Roman"/>
          <w:sz w:val="28"/>
          <w:szCs w:val="28"/>
        </w:rPr>
        <w:t>повышения заработной платы медицинских работников.</w:t>
      </w:r>
    </w:p>
    <w:p w:rsidR="00C33C7C" w:rsidRPr="00306860" w:rsidRDefault="00C33C7C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4D40D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Pr="0013167B" w:rsidRDefault="00306860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60" w:rsidRDefault="00306860" w:rsidP="00306860">
      <w:pPr>
        <w:spacing w:after="120" w:line="240" w:lineRule="auto"/>
        <w:jc w:val="both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sectPr w:rsidR="00306860" w:rsidSect="00674B6B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306860" w:rsidRPr="00B06C67" w:rsidRDefault="00306860" w:rsidP="00B06C67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06C67">
        <w:rPr>
          <w:color w:val="365F91" w:themeColor="accent1" w:themeShade="BF"/>
          <w:sz w:val="28"/>
          <w:szCs w:val="28"/>
        </w:rPr>
        <w:lastRenderedPageBreak/>
        <w:t>Источники:</w:t>
      </w:r>
    </w:p>
    <w:p w:rsidR="00DF78B6" w:rsidRDefault="00DF78B6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78B6">
        <w:rPr>
          <w:rFonts w:ascii="Times New Roman" w:hAnsi="Times New Roman" w:cs="Times New Roman"/>
          <w:sz w:val="28"/>
          <w:szCs w:val="28"/>
          <w:lang w:val="kk-KZ"/>
        </w:rPr>
        <w:t>Аналитический отчет по На</w:t>
      </w:r>
      <w:r w:rsidR="004A0BE6">
        <w:rPr>
          <w:rFonts w:ascii="Times New Roman" w:hAnsi="Times New Roman" w:cs="Times New Roman"/>
          <w:sz w:val="28"/>
          <w:szCs w:val="28"/>
          <w:lang w:val="kk-KZ"/>
        </w:rPr>
        <w:t>ци</w:t>
      </w:r>
      <w:r w:rsidRPr="00DF78B6">
        <w:rPr>
          <w:rFonts w:ascii="Times New Roman" w:hAnsi="Times New Roman" w:cs="Times New Roman"/>
          <w:sz w:val="28"/>
          <w:szCs w:val="28"/>
          <w:lang w:val="kk-KZ"/>
        </w:rPr>
        <w:t>ональным счетам здравоохранения за 2017 год, 2018;</w:t>
      </w:r>
    </w:p>
    <w:p w:rsidR="007D5E00" w:rsidRDefault="007D5E00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Отчет об исполнении бюджета Министерства финансов Республики Казахстан;</w:t>
      </w:r>
    </w:p>
    <w:p w:rsidR="007D5E00" w:rsidRPr="007D5E00" w:rsidRDefault="007D5E00" w:rsidP="005F7DC0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E00">
        <w:rPr>
          <w:rFonts w:ascii="Times New Roman" w:hAnsi="Times New Roman" w:cs="Times New Roman"/>
          <w:sz w:val="28"/>
          <w:szCs w:val="28"/>
          <w:lang w:val="kk-KZ"/>
        </w:rPr>
        <w:t>Руководство по составлению национальных счетов здравоохранения, Кристофер Дж. Л. Мурре</w:t>
      </w:r>
      <w:r w:rsidR="005F7DC0">
        <w:rPr>
          <w:rFonts w:ascii="Times New Roman" w:hAnsi="Times New Roman" w:cs="Times New Roman"/>
          <w:sz w:val="28"/>
          <w:szCs w:val="28"/>
          <w:lang w:val="kk-KZ"/>
        </w:rPr>
        <w:t>й, Роберт Холцман, Анн Питерсен;</w:t>
      </w:r>
    </w:p>
    <w:p w:rsidR="00C40546" w:rsidRDefault="00C40546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0546">
        <w:rPr>
          <w:rFonts w:ascii="Times New Roman" w:hAnsi="Times New Roman" w:cs="Times New Roman"/>
          <w:sz w:val="28"/>
          <w:szCs w:val="28"/>
          <w:lang w:val="kk-KZ"/>
        </w:rPr>
        <w:t xml:space="preserve">Данные с базы данных ОЭСР 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</w:instrText>
      </w:r>
      <w:r w:rsidRPr="00C40546">
        <w:rPr>
          <w:rFonts w:ascii="Times New Roman" w:hAnsi="Times New Roman" w:cs="Times New Roman"/>
          <w:sz w:val="28"/>
          <w:szCs w:val="28"/>
          <w:lang w:val="kk-KZ"/>
        </w:rPr>
        <w:instrText>https://stats.oecd.org/</w:instrText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separate"/>
      </w:r>
      <w:r w:rsidRPr="00BE0435">
        <w:rPr>
          <w:rStyle w:val="ab"/>
          <w:rFonts w:ascii="Times New Roman" w:hAnsi="Times New Roman" w:cs="Times New Roman"/>
          <w:sz w:val="28"/>
          <w:szCs w:val="28"/>
          <w:lang w:val="kk-KZ"/>
        </w:rPr>
        <w:t>https://stats.oecd.org/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E0A2E" w:rsidRPr="00EE0A2E" w:rsidRDefault="00EE0A2E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0A2E">
        <w:rPr>
          <w:rFonts w:ascii="Times New Roman" w:hAnsi="Times New Roman" w:cs="Times New Roman"/>
          <w:sz w:val="28"/>
          <w:szCs w:val="28"/>
          <w:lang w:val="kk-KZ"/>
        </w:rPr>
        <w:t xml:space="preserve">Статистика базы данных ВОЗ 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</w:instrText>
      </w:r>
      <w:r w:rsidRPr="00EE0A2E">
        <w:rPr>
          <w:rFonts w:ascii="Times New Roman" w:hAnsi="Times New Roman" w:cs="Times New Roman"/>
          <w:sz w:val="28"/>
          <w:szCs w:val="28"/>
          <w:lang w:val="kk-KZ"/>
        </w:rPr>
        <w:instrText>http://apps.who.int/nha/database/Home/Index/en</w:instrText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separate"/>
      </w:r>
      <w:r w:rsidRPr="00BE0435">
        <w:rPr>
          <w:rStyle w:val="ab"/>
          <w:rFonts w:ascii="Times New Roman" w:hAnsi="Times New Roman" w:cs="Times New Roman"/>
          <w:sz w:val="28"/>
          <w:szCs w:val="28"/>
          <w:lang w:val="kk-KZ"/>
        </w:rPr>
        <w:t>http://apps.who.int/nha/database/Home/Index/en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0A2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E0A2E" w:rsidRDefault="00EE0A2E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Таблицы НСЗ РК 2010-2017</w:t>
      </w:r>
      <w:r w:rsidRPr="00EE0A2E">
        <w:rPr>
          <w:rFonts w:ascii="Times New Roman" w:hAnsi="Times New Roman" w:cs="Times New Roman"/>
          <w:sz w:val="28"/>
          <w:szCs w:val="28"/>
          <w:lang w:val="kk-KZ"/>
        </w:rPr>
        <w:t xml:space="preserve"> годы;</w:t>
      </w:r>
    </w:p>
    <w:p w:rsidR="00EF3F24" w:rsidRPr="00EF3F24" w:rsidRDefault="00EF3F24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3F24">
        <w:rPr>
          <w:rFonts w:ascii="Times New Roman" w:hAnsi="Times New Roman" w:cs="Times New Roman"/>
          <w:sz w:val="28"/>
          <w:szCs w:val="28"/>
          <w:lang w:val="kk-KZ"/>
        </w:rPr>
        <w:t>Пособие для разработчиков политики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F3F24">
        <w:rPr>
          <w:rFonts w:ascii="Times New Roman" w:hAnsi="Times New Roman" w:cs="Times New Roman"/>
          <w:sz w:val="28"/>
          <w:szCs w:val="28"/>
          <w:lang w:val="kk-KZ"/>
        </w:rPr>
        <w:t>и стратегии здравоохранения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EF3F24">
        <w:rPr>
          <w:rFonts w:ascii="Times New Roman" w:hAnsi="Times New Roman" w:cs="Times New Roman"/>
          <w:sz w:val="28"/>
          <w:szCs w:val="28"/>
          <w:lang w:val="kk-KZ"/>
        </w:rPr>
        <w:t>Ресурсный центр PHRplus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F3F24" w:rsidRPr="00EF3F24" w:rsidRDefault="00EF3F24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3F24">
        <w:rPr>
          <w:rFonts w:ascii="Times New Roman" w:hAnsi="Times New Roman" w:cs="Times New Roman"/>
          <w:sz w:val="28"/>
          <w:szCs w:val="28"/>
          <w:lang w:val="kk-KZ"/>
        </w:rPr>
        <w:t>Статистика Национального Банка;</w:t>
      </w:r>
    </w:p>
    <w:p w:rsidR="00EF3F24" w:rsidRDefault="00EF3F24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Статистика Комитета по статистике Министерства национальной экономики Республики Казахстан;</w:t>
      </w:r>
    </w:p>
    <w:p w:rsidR="005F7DC0" w:rsidRPr="005F7DC0" w:rsidRDefault="005F7DC0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>OECD, ICHA-HF Classification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of health care financing, 2000;</w:t>
      </w:r>
    </w:p>
    <w:p w:rsidR="005F7DC0" w:rsidRDefault="005F7DC0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 xml:space="preserve"> OECD, Eurostat, WHO, 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system of Health Accounts, 2011;</w:t>
      </w:r>
    </w:p>
    <w:p w:rsidR="005F7DC0" w:rsidRDefault="005F7DC0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 xml:space="preserve"> Сайт международных экономических показателей 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</w:instrText>
      </w:r>
      <w:r w:rsidRPr="005F7DC0">
        <w:rPr>
          <w:rFonts w:ascii="Times New Roman" w:hAnsi="Times New Roman" w:cs="Times New Roman"/>
          <w:sz w:val="28"/>
          <w:szCs w:val="28"/>
          <w:lang w:val="kk-KZ"/>
        </w:rPr>
        <w:instrText>https://tradingeconomics.com/</w:instrText>
      </w:r>
      <w:r>
        <w:rPr>
          <w:rFonts w:ascii="Times New Roman" w:hAnsi="Times New Roman" w:cs="Times New Roman"/>
          <w:sz w:val="28"/>
          <w:szCs w:val="28"/>
          <w:lang w:val="kk-KZ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separate"/>
      </w:r>
      <w:r w:rsidRPr="00BE0435">
        <w:rPr>
          <w:rStyle w:val="ab"/>
          <w:rFonts w:ascii="Times New Roman" w:hAnsi="Times New Roman" w:cs="Times New Roman"/>
          <w:sz w:val="28"/>
          <w:szCs w:val="28"/>
          <w:lang w:val="kk-KZ"/>
        </w:rPr>
        <w:t>https://tradingeconomics.com/</w:t>
      </w:r>
      <w:r>
        <w:rPr>
          <w:rFonts w:ascii="Times New Roman" w:hAnsi="Times New Roman" w:cs="Times New Roman"/>
          <w:sz w:val="28"/>
          <w:szCs w:val="28"/>
          <w:lang w:val="kk-KZ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F7DC0" w:rsidRDefault="005F7DC0" w:rsidP="005F7DC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>Системы здравоохранения, здоровье и благосостояние: оценка аргументов в пользу инвестирования в сис</w:t>
      </w:r>
      <w:r>
        <w:rPr>
          <w:rFonts w:ascii="Times New Roman" w:hAnsi="Times New Roman" w:cs="Times New Roman"/>
          <w:sz w:val="28"/>
          <w:szCs w:val="28"/>
          <w:lang w:val="kk-KZ"/>
        </w:rPr>
        <w:t>темы здравоохранения, ВОЗ, 2008;</w:t>
      </w:r>
    </w:p>
    <w:p w:rsidR="005F7DC0" w:rsidRPr="009E7180" w:rsidRDefault="005F7DC0" w:rsidP="005F7DC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Exploring the thresholds of health expenditure for protection against financial risk. Xu K. et al. / World Health Report 2010 Background Paper. № 19. </w:t>
      </w:r>
      <w:r w:rsidRPr="009E7180">
        <w:rPr>
          <w:color w:val="auto"/>
          <w:sz w:val="28"/>
          <w:szCs w:val="28"/>
          <w:lang w:val="ru-RU"/>
        </w:rPr>
        <w:t>Режим</w:t>
      </w:r>
      <w:r w:rsidRPr="009E7180">
        <w:rPr>
          <w:color w:val="auto"/>
          <w:sz w:val="28"/>
          <w:szCs w:val="28"/>
          <w:lang w:val="en-US"/>
        </w:rPr>
        <w:t xml:space="preserve"> </w:t>
      </w:r>
      <w:r w:rsidRPr="009E7180">
        <w:rPr>
          <w:color w:val="auto"/>
          <w:sz w:val="28"/>
          <w:szCs w:val="28"/>
          <w:lang w:val="ru-RU"/>
        </w:rPr>
        <w:t>доступа</w:t>
      </w:r>
      <w:r w:rsidRPr="009E7180">
        <w:rPr>
          <w:color w:val="auto"/>
          <w:sz w:val="28"/>
          <w:szCs w:val="28"/>
          <w:lang w:val="en-US"/>
        </w:rPr>
        <w:t xml:space="preserve">: </w:t>
      </w:r>
      <w:r w:rsidRPr="009E7180">
        <w:rPr>
          <w:rStyle w:val="ab"/>
          <w:rFonts w:cstheme="minorBidi"/>
          <w:i/>
          <w:iCs/>
          <w:szCs w:val="22"/>
        </w:rPr>
        <w:t>http://www.who.int/ healthsystems/topics/financing/healthreport/19THE-thresv2.pdf</w:t>
      </w:r>
      <w:r w:rsidRPr="005F7DC0">
        <w:rPr>
          <w:color w:val="auto"/>
          <w:sz w:val="28"/>
          <w:szCs w:val="28"/>
          <w:lang w:val="en-US"/>
        </w:rPr>
        <w:t>;</w:t>
      </w:r>
    </w:p>
    <w:p w:rsidR="005F7DC0" w:rsidRPr="009E7180" w:rsidRDefault="005F7DC0" w:rsidP="005F7DC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 The political economy of the public-private mix in heath expenditure: An empirical review of thirteen OECD countries. </w:t>
      </w:r>
      <w:proofErr w:type="spellStart"/>
      <w:r w:rsidRPr="00B80D35">
        <w:rPr>
          <w:color w:val="auto"/>
          <w:sz w:val="28"/>
          <w:szCs w:val="28"/>
          <w:lang w:val="en-US"/>
        </w:rPr>
        <w:t>Mou</w:t>
      </w:r>
      <w:proofErr w:type="spellEnd"/>
      <w:r w:rsidRPr="00B80D35">
        <w:rPr>
          <w:color w:val="auto"/>
          <w:sz w:val="28"/>
          <w:szCs w:val="28"/>
          <w:lang w:val="en-US"/>
        </w:rPr>
        <w:t xml:space="preserve"> H. </w:t>
      </w:r>
      <w:r w:rsidRPr="009E7180">
        <w:rPr>
          <w:color w:val="auto"/>
          <w:sz w:val="28"/>
          <w:szCs w:val="28"/>
          <w:lang w:val="en-US"/>
        </w:rPr>
        <w:t>// He</w:t>
      </w:r>
      <w:r>
        <w:rPr>
          <w:color w:val="auto"/>
          <w:sz w:val="28"/>
          <w:szCs w:val="28"/>
          <w:lang w:val="en-US"/>
        </w:rPr>
        <w:t xml:space="preserve">alth </w:t>
      </w:r>
      <w:proofErr w:type="spellStart"/>
      <w:r>
        <w:rPr>
          <w:color w:val="auto"/>
          <w:sz w:val="28"/>
          <w:szCs w:val="28"/>
          <w:lang w:val="en-US"/>
        </w:rPr>
        <w:t>Рolicy</w:t>
      </w:r>
      <w:proofErr w:type="spellEnd"/>
      <w:r>
        <w:rPr>
          <w:color w:val="auto"/>
          <w:sz w:val="28"/>
          <w:szCs w:val="28"/>
          <w:lang w:val="en-US"/>
        </w:rPr>
        <w:t>. 2013. Т. 113. № 3</w:t>
      </w:r>
      <w:r>
        <w:rPr>
          <w:color w:val="auto"/>
          <w:sz w:val="28"/>
          <w:szCs w:val="28"/>
          <w:lang w:val="ru-RU"/>
        </w:rPr>
        <w:t>;</w:t>
      </w:r>
    </w:p>
    <w:p w:rsidR="005F7DC0" w:rsidRPr="009E7180" w:rsidRDefault="005F7DC0" w:rsidP="005F7DC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Cavalieri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M., </w:t>
      </w:r>
      <w:proofErr w:type="spellStart"/>
      <w:r w:rsidRPr="009E7180">
        <w:rPr>
          <w:color w:val="auto"/>
          <w:sz w:val="28"/>
          <w:szCs w:val="28"/>
          <w:lang w:val="en-US"/>
        </w:rPr>
        <w:t>Guccio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C. Health expenditure in Italy: a regional analysis of the public-private mix / </w:t>
      </w:r>
      <w:proofErr w:type="spellStart"/>
      <w:r w:rsidRPr="009E7180">
        <w:rPr>
          <w:color w:val="auto"/>
          <w:sz w:val="28"/>
          <w:szCs w:val="28"/>
          <w:lang w:val="en-US"/>
        </w:rPr>
        <w:t>Società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italiana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di </w:t>
      </w:r>
      <w:proofErr w:type="spellStart"/>
      <w:r w:rsidRPr="009E7180">
        <w:rPr>
          <w:color w:val="auto"/>
          <w:sz w:val="28"/>
          <w:szCs w:val="28"/>
          <w:lang w:val="en-US"/>
        </w:rPr>
        <w:t>economia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pubblica</w:t>
      </w:r>
      <w:proofErr w:type="spellEnd"/>
      <w:r>
        <w:rPr>
          <w:color w:val="auto"/>
          <w:sz w:val="28"/>
          <w:szCs w:val="28"/>
          <w:lang w:val="en-US"/>
        </w:rPr>
        <w:t xml:space="preserve">. XVIII </w:t>
      </w:r>
      <w:proofErr w:type="spellStart"/>
      <w:r>
        <w:rPr>
          <w:color w:val="auto"/>
          <w:sz w:val="28"/>
          <w:szCs w:val="28"/>
          <w:lang w:val="en-US"/>
        </w:rPr>
        <w:t>Conferenza</w:t>
      </w:r>
      <w:proofErr w:type="spellEnd"/>
      <w:r>
        <w:rPr>
          <w:color w:val="auto"/>
          <w:sz w:val="28"/>
          <w:szCs w:val="28"/>
          <w:lang w:val="en-US"/>
        </w:rPr>
        <w:t>. Pavia, 2006</w:t>
      </w:r>
      <w:r>
        <w:rPr>
          <w:color w:val="auto"/>
          <w:sz w:val="28"/>
          <w:szCs w:val="28"/>
          <w:lang w:val="ru-RU"/>
        </w:rPr>
        <w:t>;</w:t>
      </w:r>
    </w:p>
    <w:p w:rsidR="005F7DC0" w:rsidRPr="009E7180" w:rsidRDefault="005F7DC0" w:rsidP="005F7DC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rFonts w:ascii="Franklin Gothic Book" w:hAnsi="Franklin Gothic Book" w:cs="Franklin Gothic Book"/>
          <w:sz w:val="16"/>
          <w:szCs w:val="16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Bilger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M., </w:t>
      </w:r>
      <w:proofErr w:type="spellStart"/>
      <w:r w:rsidRPr="009E7180">
        <w:rPr>
          <w:color w:val="auto"/>
          <w:sz w:val="28"/>
          <w:szCs w:val="28"/>
          <w:lang w:val="en-US"/>
        </w:rPr>
        <w:t>Chaze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J.-P. What Drives Individual Health Expenditure in Switzerland? // Swiss Journal of Economics and Statistics. 2008. № 144 (3).</w:t>
      </w:r>
    </w:p>
    <w:p w:rsidR="005F7DC0" w:rsidRPr="008E311D" w:rsidRDefault="005F7DC0" w:rsidP="005F7DC0">
      <w:pPr>
        <w:pStyle w:val="Default"/>
        <w:numPr>
          <w:ilvl w:val="0"/>
          <w:numId w:val="3"/>
        </w:numPr>
        <w:jc w:val="both"/>
        <w:rPr>
          <w:rStyle w:val="ab"/>
          <w:color w:val="auto"/>
          <w:sz w:val="28"/>
          <w:szCs w:val="28"/>
          <w:lang w:val="en-US"/>
        </w:rPr>
      </w:pPr>
      <w:r w:rsidRPr="009E7180">
        <w:rPr>
          <w:rFonts w:ascii="Franklin Gothic Book" w:hAnsi="Franklin Gothic Book" w:cs="Franklin Gothic Book"/>
          <w:sz w:val="16"/>
          <w:szCs w:val="16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Sanwald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A., </w:t>
      </w:r>
      <w:proofErr w:type="spellStart"/>
      <w:r w:rsidRPr="009E7180">
        <w:rPr>
          <w:color w:val="auto"/>
          <w:sz w:val="28"/>
          <w:szCs w:val="28"/>
          <w:lang w:val="en-US"/>
        </w:rPr>
        <w:t>Theurl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E. What drives out-of pocket health expenditures of private households? Empirical evidence from the Austrian household bud</w:t>
      </w:r>
      <w:r>
        <w:rPr>
          <w:color w:val="auto"/>
          <w:sz w:val="28"/>
          <w:szCs w:val="28"/>
          <w:lang w:val="en-US"/>
        </w:rPr>
        <w:t>get survey</w:t>
      </w:r>
      <w:r w:rsidRPr="009E7180">
        <w:rPr>
          <w:color w:val="auto"/>
          <w:sz w:val="28"/>
          <w:szCs w:val="28"/>
          <w:lang w:val="en-US"/>
        </w:rPr>
        <w:t xml:space="preserve">/ University of Innsbruck. Working Papers in Economics and Statistics. 2014. № 4. </w:t>
      </w:r>
      <w:proofErr w:type="spellStart"/>
      <w:r w:rsidRPr="009E7180">
        <w:rPr>
          <w:color w:val="auto"/>
          <w:sz w:val="28"/>
          <w:szCs w:val="28"/>
          <w:lang w:val="en-US"/>
        </w:rPr>
        <w:t>Режим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E7180">
        <w:rPr>
          <w:color w:val="auto"/>
          <w:sz w:val="28"/>
          <w:szCs w:val="28"/>
          <w:lang w:val="en-US"/>
        </w:rPr>
        <w:t>доступа</w:t>
      </w:r>
      <w:proofErr w:type="spellEnd"/>
      <w:r w:rsidRPr="009E7180">
        <w:rPr>
          <w:color w:val="auto"/>
          <w:sz w:val="28"/>
          <w:szCs w:val="28"/>
          <w:lang w:val="en-US"/>
        </w:rPr>
        <w:t xml:space="preserve">: </w:t>
      </w:r>
      <w:r w:rsidRPr="009E7180">
        <w:rPr>
          <w:rStyle w:val="ab"/>
          <w:rFonts w:cstheme="minorBidi"/>
          <w:i/>
          <w:iCs/>
          <w:szCs w:val="22"/>
        </w:rPr>
        <w:t>http://eeecon.uibk.ac.at/wope</w:t>
      </w:r>
      <w:r>
        <w:rPr>
          <w:rStyle w:val="ab"/>
          <w:rFonts w:cstheme="minorBidi"/>
          <w:i/>
          <w:iCs/>
          <w:szCs w:val="22"/>
        </w:rPr>
        <w:t>c2/ repec/inn/wpaper/2014-04.pd</w:t>
      </w:r>
      <w:r w:rsidRPr="005F7DC0">
        <w:rPr>
          <w:rStyle w:val="ab"/>
          <w:rFonts w:cstheme="minorBidi"/>
          <w:i/>
          <w:iCs/>
          <w:szCs w:val="22"/>
          <w:lang w:val="en-US"/>
        </w:rPr>
        <w:t>.</w:t>
      </w:r>
    </w:p>
    <w:p w:rsidR="005F7DC0" w:rsidRPr="005F7DC0" w:rsidRDefault="005F7DC0" w:rsidP="005F7DC0">
      <w:pPr>
        <w:spacing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F24" w:rsidRPr="00EF3F24" w:rsidRDefault="00EF3F24" w:rsidP="005F7DC0">
      <w:pPr>
        <w:pStyle w:val="a7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2242" w:rsidRDefault="009F2242" w:rsidP="005F7DC0">
      <w:pPr>
        <w:spacing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9F2242" w:rsidSect="009F2242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DF78B6" w:rsidRPr="005F7DC0" w:rsidRDefault="00DF78B6" w:rsidP="005F7DC0">
      <w:pPr>
        <w:spacing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F78B6" w:rsidRPr="005F7DC0" w:rsidSect="00674B6B">
      <w:type w:val="continuous"/>
      <w:pgSz w:w="11906" w:h="16838"/>
      <w:pgMar w:top="709" w:right="850" w:bottom="1134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BE9" w:rsidRDefault="003B2BE9" w:rsidP="008934E9">
      <w:pPr>
        <w:spacing w:after="0" w:line="240" w:lineRule="auto"/>
      </w:pPr>
      <w:r>
        <w:separator/>
      </w:r>
    </w:p>
  </w:endnote>
  <w:endnote w:type="continuationSeparator" w:id="0">
    <w:p w:rsidR="003B2BE9" w:rsidRDefault="003B2BE9" w:rsidP="0089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BE9" w:rsidRDefault="003B2BE9" w:rsidP="008934E9">
      <w:pPr>
        <w:spacing w:after="0" w:line="240" w:lineRule="auto"/>
      </w:pPr>
      <w:r>
        <w:separator/>
      </w:r>
    </w:p>
  </w:footnote>
  <w:footnote w:type="continuationSeparator" w:id="0">
    <w:p w:rsidR="003B2BE9" w:rsidRDefault="003B2BE9" w:rsidP="008934E9">
      <w:pPr>
        <w:spacing w:after="0" w:line="240" w:lineRule="auto"/>
      </w:pPr>
      <w:r>
        <w:continuationSeparator/>
      </w:r>
    </w:p>
  </w:footnote>
  <w:footnote w:id="1">
    <w:p w:rsidR="008934E9" w:rsidRPr="008934E9" w:rsidRDefault="008934E9">
      <w:pPr>
        <w:pStyle w:val="a8"/>
        <w:rPr>
          <w:rFonts w:ascii="Times New Roman" w:hAnsi="Times New Roman" w:cs="Times New Roman"/>
        </w:rPr>
      </w:pPr>
      <w:r w:rsidRPr="008934E9">
        <w:rPr>
          <w:rStyle w:val="aa"/>
          <w:rFonts w:ascii="Times New Roman" w:hAnsi="Times New Roman" w:cs="Times New Roman"/>
        </w:rPr>
        <w:footnoteRef/>
      </w:r>
      <w:r w:rsidRPr="008934E9">
        <w:rPr>
          <w:rFonts w:ascii="Times New Roman" w:hAnsi="Times New Roman" w:cs="Times New Roman"/>
        </w:rPr>
        <w:t xml:space="preserve"> Данные с базы данных ОЭСР </w:t>
      </w:r>
      <w:hyperlink r:id="rId1" w:history="1">
        <w:r w:rsidRPr="00BE0435">
          <w:rPr>
            <w:rStyle w:val="ab"/>
            <w:rFonts w:ascii="Times New Roman" w:hAnsi="Times New Roman" w:cs="Times New Roman"/>
          </w:rPr>
          <w:t>https://stats.oecd.org/</w:t>
        </w:r>
      </w:hyperlink>
      <w:r>
        <w:rPr>
          <w:rFonts w:ascii="Times New Roman" w:hAnsi="Times New Roman" w:cs="Times New Roman"/>
        </w:rPr>
        <w:t xml:space="preserve"> </w:t>
      </w:r>
    </w:p>
  </w:footnote>
  <w:footnote w:id="2">
    <w:p w:rsidR="008934E9" w:rsidRDefault="008934E9">
      <w:pPr>
        <w:pStyle w:val="a8"/>
      </w:pPr>
      <w:r>
        <w:rPr>
          <w:rStyle w:val="aa"/>
        </w:rPr>
        <w:footnoteRef/>
      </w:r>
      <w:r>
        <w:t xml:space="preserve"> </w:t>
      </w:r>
      <w:r w:rsidRPr="008934E9">
        <w:rPr>
          <w:rFonts w:ascii="Times New Roman" w:hAnsi="Times New Roman" w:cs="Times New Roman"/>
        </w:rPr>
        <w:t xml:space="preserve">Данные с базы данных ОЭСР </w:t>
      </w:r>
      <w:hyperlink r:id="rId2" w:history="1">
        <w:r w:rsidRPr="00BE0435">
          <w:rPr>
            <w:rStyle w:val="ab"/>
            <w:rFonts w:ascii="Times New Roman" w:hAnsi="Times New Roman" w:cs="Times New Roman"/>
          </w:rPr>
          <w:t>https://stats.oecd.org/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519E"/>
    <w:multiLevelType w:val="hybridMultilevel"/>
    <w:tmpl w:val="B9EE8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901C1"/>
    <w:multiLevelType w:val="hybridMultilevel"/>
    <w:tmpl w:val="F5F8EE68"/>
    <w:lvl w:ilvl="0" w:tplc="922A0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505E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028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83C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EE4E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049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E08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64CA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0F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3092F"/>
    <w:multiLevelType w:val="hybridMultilevel"/>
    <w:tmpl w:val="DEF04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422BA"/>
    <w:multiLevelType w:val="hybridMultilevel"/>
    <w:tmpl w:val="D67A8594"/>
    <w:lvl w:ilvl="0" w:tplc="7DE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66"/>
    <w:rsid w:val="00026D3F"/>
    <w:rsid w:val="000639A5"/>
    <w:rsid w:val="000924FB"/>
    <w:rsid w:val="000D628D"/>
    <w:rsid w:val="000F0350"/>
    <w:rsid w:val="001130D4"/>
    <w:rsid w:val="0011419C"/>
    <w:rsid w:val="00116654"/>
    <w:rsid w:val="00124F09"/>
    <w:rsid w:val="0013167B"/>
    <w:rsid w:val="001354FB"/>
    <w:rsid w:val="00153666"/>
    <w:rsid w:val="00157316"/>
    <w:rsid w:val="00177250"/>
    <w:rsid w:val="001D524E"/>
    <w:rsid w:val="002112AD"/>
    <w:rsid w:val="00221469"/>
    <w:rsid w:val="0022447C"/>
    <w:rsid w:val="002D1F83"/>
    <w:rsid w:val="002D3C54"/>
    <w:rsid w:val="0030108D"/>
    <w:rsid w:val="00306860"/>
    <w:rsid w:val="00331ABA"/>
    <w:rsid w:val="00386490"/>
    <w:rsid w:val="003B2BE9"/>
    <w:rsid w:val="004330E5"/>
    <w:rsid w:val="004420F2"/>
    <w:rsid w:val="0045024E"/>
    <w:rsid w:val="00480A3B"/>
    <w:rsid w:val="004A0BE6"/>
    <w:rsid w:val="004A5C3E"/>
    <w:rsid w:val="004B48BE"/>
    <w:rsid w:val="004B754B"/>
    <w:rsid w:val="004D40DB"/>
    <w:rsid w:val="00512D7F"/>
    <w:rsid w:val="00516FC4"/>
    <w:rsid w:val="005310F7"/>
    <w:rsid w:val="00574A23"/>
    <w:rsid w:val="00585EEB"/>
    <w:rsid w:val="005C3BF0"/>
    <w:rsid w:val="005F0E73"/>
    <w:rsid w:val="005F7DC0"/>
    <w:rsid w:val="00607478"/>
    <w:rsid w:val="00640B01"/>
    <w:rsid w:val="00674B6B"/>
    <w:rsid w:val="0068773E"/>
    <w:rsid w:val="00695912"/>
    <w:rsid w:val="006A4F86"/>
    <w:rsid w:val="006E36AD"/>
    <w:rsid w:val="006F6714"/>
    <w:rsid w:val="00752268"/>
    <w:rsid w:val="0076236E"/>
    <w:rsid w:val="00776249"/>
    <w:rsid w:val="00795E6B"/>
    <w:rsid w:val="007C6949"/>
    <w:rsid w:val="007D1288"/>
    <w:rsid w:val="007D494F"/>
    <w:rsid w:val="007D5E00"/>
    <w:rsid w:val="0080715E"/>
    <w:rsid w:val="00844F9C"/>
    <w:rsid w:val="00874C96"/>
    <w:rsid w:val="00874F36"/>
    <w:rsid w:val="00884505"/>
    <w:rsid w:val="008934E9"/>
    <w:rsid w:val="008A083D"/>
    <w:rsid w:val="008A35AC"/>
    <w:rsid w:val="008B39C3"/>
    <w:rsid w:val="008B6FB0"/>
    <w:rsid w:val="008C0533"/>
    <w:rsid w:val="008E2428"/>
    <w:rsid w:val="009173AB"/>
    <w:rsid w:val="00987526"/>
    <w:rsid w:val="009C438E"/>
    <w:rsid w:val="009F2242"/>
    <w:rsid w:val="00A1330A"/>
    <w:rsid w:val="00A313D4"/>
    <w:rsid w:val="00A47955"/>
    <w:rsid w:val="00A80517"/>
    <w:rsid w:val="00AB2BF1"/>
    <w:rsid w:val="00AC7CF8"/>
    <w:rsid w:val="00AD40C7"/>
    <w:rsid w:val="00AD624D"/>
    <w:rsid w:val="00B06C67"/>
    <w:rsid w:val="00B14053"/>
    <w:rsid w:val="00B22444"/>
    <w:rsid w:val="00B31046"/>
    <w:rsid w:val="00B55906"/>
    <w:rsid w:val="00B57C47"/>
    <w:rsid w:val="00B74535"/>
    <w:rsid w:val="00B93282"/>
    <w:rsid w:val="00BA428D"/>
    <w:rsid w:val="00BB4360"/>
    <w:rsid w:val="00BC6B44"/>
    <w:rsid w:val="00C220C4"/>
    <w:rsid w:val="00C33C7C"/>
    <w:rsid w:val="00C34592"/>
    <w:rsid w:val="00C37CA2"/>
    <w:rsid w:val="00C40546"/>
    <w:rsid w:val="00C450C8"/>
    <w:rsid w:val="00C56E36"/>
    <w:rsid w:val="00C748DA"/>
    <w:rsid w:val="00CA6DBF"/>
    <w:rsid w:val="00CD3DD5"/>
    <w:rsid w:val="00D36946"/>
    <w:rsid w:val="00D6233D"/>
    <w:rsid w:val="00DA1311"/>
    <w:rsid w:val="00DC518E"/>
    <w:rsid w:val="00DE13FE"/>
    <w:rsid w:val="00DF78B6"/>
    <w:rsid w:val="00E12C0F"/>
    <w:rsid w:val="00E13A30"/>
    <w:rsid w:val="00E153CA"/>
    <w:rsid w:val="00E476DC"/>
    <w:rsid w:val="00E47FB5"/>
    <w:rsid w:val="00E5294F"/>
    <w:rsid w:val="00E8291C"/>
    <w:rsid w:val="00E90D4F"/>
    <w:rsid w:val="00EE0A2E"/>
    <w:rsid w:val="00EF3F24"/>
    <w:rsid w:val="00F07A56"/>
    <w:rsid w:val="00F160FF"/>
    <w:rsid w:val="00F24926"/>
    <w:rsid w:val="00F24F16"/>
    <w:rsid w:val="00F37AC2"/>
    <w:rsid w:val="00F614B7"/>
    <w:rsid w:val="00F73434"/>
    <w:rsid w:val="00F73CDE"/>
    <w:rsid w:val="00F77CAE"/>
    <w:rsid w:val="00F859F9"/>
    <w:rsid w:val="00F971D1"/>
    <w:rsid w:val="00FC2B32"/>
    <w:rsid w:val="00FC5AB1"/>
    <w:rsid w:val="00FC789D"/>
    <w:rsid w:val="00FD2399"/>
    <w:rsid w:val="00FD2D91"/>
    <w:rsid w:val="00FF0DCF"/>
    <w:rsid w:val="00FF4E10"/>
    <w:rsid w:val="00FF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5863D-BB92-488E-830C-3CB4447B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B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0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1A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0B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40B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6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28D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11"/>
    <w:qFormat/>
    <w:rsid w:val="000D6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D6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DF78B6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934E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934E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934E9"/>
    <w:rPr>
      <w:vertAlign w:val="superscript"/>
    </w:rPr>
  </w:style>
  <w:style w:type="character" w:styleId="ab">
    <w:name w:val="Hyperlink"/>
    <w:basedOn w:val="a0"/>
    <w:uiPriority w:val="99"/>
    <w:unhideWhenUsed/>
    <w:rsid w:val="008934E9"/>
    <w:rPr>
      <w:color w:val="0000FF" w:themeColor="hyperlink"/>
      <w:u w:val="single"/>
    </w:rPr>
  </w:style>
  <w:style w:type="paragraph" w:customStyle="1" w:styleId="Default">
    <w:name w:val="Default"/>
    <w:rsid w:val="005F7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character" w:customStyle="1" w:styleId="30">
    <w:name w:val="Заголовок 3 Знак"/>
    <w:basedOn w:val="a0"/>
    <w:link w:val="3"/>
    <w:uiPriority w:val="9"/>
    <w:rsid w:val="00331A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"/>
    <w:next w:val="a"/>
    <w:link w:val="ad"/>
    <w:uiPriority w:val="10"/>
    <w:qFormat/>
    <w:rsid w:val="00B932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B932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66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0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59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6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tats.oecd.org/" TargetMode="External"/><Relationship Id="rId1" Type="http://schemas.openxmlformats.org/officeDocument/2006/relationships/hyperlink" Target="https://stats.oecd.org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unussova_a\Desktop\1.&#1040;&#1085;&#1072;&#1083;&#1080;&#1090;&#1080;&#1082;&#1072;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Общие расходы на здравоохранение</c:v>
                </c:pt>
              </c:strCache>
            </c:strRef>
          </c:tx>
          <c:marker>
            <c:symbol val="diamond"/>
            <c:size val="10"/>
          </c:marker>
          <c:dLbls>
            <c:dLbl>
              <c:idx val="6"/>
              <c:layout>
                <c:manualLayout>
                  <c:x val="-4.4305555555555556E-2"/>
                  <c:y val="-4.9287798696619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8BF-48ED-A379-BB6B2EF2CEEE}"/>
                </c:ext>
              </c:extLst>
            </c:dLbl>
            <c:dLbl>
              <c:idx val="7"/>
              <c:layout>
                <c:manualLayout>
                  <c:x val="-5.8194444444444444E-2"/>
                  <c:y val="-5.72393723888404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BF-48ED-A379-BB6B2EF2CEEE}"/>
                </c:ext>
              </c:extLst>
            </c:dLbl>
            <c:spPr>
              <a:noFill/>
              <a:ln>
                <a:noFill/>
              </a:ln>
              <a:effectLst/>
            </c:sp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0</c:formatCode>
                <c:ptCount val="8"/>
                <c:pt idx="0">
                  <c:v>875.5128664346613</c:v>
                </c:pt>
                <c:pt idx="1">
                  <c:v>955.94228275126932</c:v>
                </c:pt>
                <c:pt idx="2">
                  <c:v>1165.6348220160191</c:v>
                </c:pt>
                <c:pt idx="3">
                  <c:v>1281.4901899040103</c:v>
                </c:pt>
                <c:pt idx="4">
                  <c:v>1431.8540143863679</c:v>
                </c:pt>
                <c:pt idx="5">
                  <c:v>1484.808986</c:v>
                </c:pt>
                <c:pt idx="6">
                  <c:v>1761.52079876588</c:v>
                </c:pt>
                <c:pt idx="7">
                  <c:v>1759.0350566874499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8BF-48ED-A379-BB6B2EF2CE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564736"/>
        <c:axId val="136566272"/>
      </c:line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Доля ОРЗ от ВВП</c:v>
                </c:pt>
              </c:strCache>
            </c:strRef>
          </c:tx>
          <c:dLbls>
            <c:dLbl>
              <c:idx val="6"/>
              <c:layout>
                <c:manualLayout>
                  <c:x val="-4.4890091863517063E-2"/>
                  <c:y val="4.7299670492245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8BF-48ED-A379-BB6B2EF2CEEE}"/>
                </c:ext>
              </c:extLst>
            </c:dLbl>
            <c:dLbl>
              <c:idx val="7"/>
              <c:layout>
                <c:manualLayout>
                  <c:x val="-6.1093795567220763E-2"/>
                  <c:y val="7.5129395810624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8BF-48ED-A379-BB6B2EF2CEEE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0.0%</c:formatCode>
                <c:ptCount val="8"/>
                <c:pt idx="0">
                  <c:v>4.0132574737268951E-2</c:v>
                </c:pt>
                <c:pt idx="1">
                  <c:v>3.3846988599474923E-2</c:v>
                </c:pt>
                <c:pt idx="2">
                  <c:v>3.7582711883991024E-2</c:v>
                </c:pt>
                <c:pt idx="3">
                  <c:v>3.5597913730836289E-2</c:v>
                </c:pt>
                <c:pt idx="4">
                  <c:v>3.6088820567302254E-2</c:v>
                </c:pt>
                <c:pt idx="5">
                  <c:v>3.631748688933939E-2</c:v>
                </c:pt>
                <c:pt idx="6">
                  <c:v>3.7502185889974594E-2</c:v>
                </c:pt>
                <c:pt idx="7">
                  <c:v>3.3126037584415707E-2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B8BF-48ED-A379-BB6B2EF2CE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577792"/>
        <c:axId val="136567808"/>
      </c:lineChart>
      <c:catAx>
        <c:axId val="136564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6566272"/>
        <c:crosses val="autoZero"/>
        <c:auto val="1"/>
        <c:lblAlgn val="ctr"/>
        <c:lblOffset val="100"/>
        <c:noMultiLvlLbl val="0"/>
      </c:catAx>
      <c:valAx>
        <c:axId val="136566272"/>
        <c:scaling>
          <c:orientation val="minMax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36564736"/>
        <c:crosses val="autoZero"/>
        <c:crossBetween val="between"/>
      </c:valAx>
      <c:valAx>
        <c:axId val="136567808"/>
        <c:scaling>
          <c:orientation val="minMax"/>
        </c:scaling>
        <c:delete val="0"/>
        <c:axPos val="r"/>
        <c:numFmt formatCode="0.0%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36577792"/>
        <c:crosses val="max"/>
        <c:crossBetween val="between"/>
      </c:valAx>
      <c:catAx>
        <c:axId val="1365777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6567808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812732467201122"/>
          <c:y val="0.1098039653276924"/>
          <c:w val="0.29421325054716363"/>
          <c:h val="0.8212749899681371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effectLst>
              <a:outerShdw sx="1000" sy="1000" algn="ctr" rotWithShape="0">
                <a:srgbClr val="000000"/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Lbls>
            <c:dLbl>
              <c:idx val="0"/>
              <c:layout>
                <c:manualLayout>
                  <c:x val="-0.12268518518518522"/>
                  <c:y val="-7.12963110240751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A39-47FD-8CB7-EA405032F2CA}"/>
                </c:ext>
              </c:extLst>
            </c:dLbl>
            <c:dLbl>
              <c:idx val="1"/>
              <c:layout>
                <c:manualLayout>
                  <c:x val="0.1111111111111111"/>
                  <c:y val="4.753087401605009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A39-47FD-8CB7-EA405032F2CA}"/>
                </c:ext>
              </c:extLst>
            </c:dLbl>
            <c:dLbl>
              <c:idx val="2"/>
              <c:layout>
                <c:manualLayout>
                  <c:x val="-3.2407407407407419E-2"/>
                  <c:y val="3.960906168004175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A39-47FD-8CB7-EA405032F2CA}"/>
                </c:ext>
              </c:extLst>
            </c:dLbl>
            <c:dLbl>
              <c:idx val="3"/>
              <c:layout>
                <c:manualLayout>
                  <c:x val="2.0833333333333395E-2"/>
                  <c:y val="-1.18827185040125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A39-47FD-8CB7-EA405032F2C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Государственные расходы</c:v>
                </c:pt>
                <c:pt idx="1">
                  <c:v>Прямые платежи населения</c:v>
                </c:pt>
                <c:pt idx="2">
                  <c:v>Взносы предприятий + ДМС</c:v>
                </c:pt>
                <c:pt idx="3">
                  <c:v>Иностранные доноры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 formatCode="0%">
                  <c:v>0.61799999999999999</c:v>
                </c:pt>
                <c:pt idx="1">
                  <c:v>0.33200000000000002</c:v>
                </c:pt>
                <c:pt idx="2">
                  <c:v>4.5999999999999999E-2</c:v>
                </c:pt>
                <c:pt idx="3">
                  <c:v>3.0000000000000001E-3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A39-47FD-8CB7-EA405032F2C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0477515120185601"/>
          <c:y val="6.2989017318618917E-2"/>
          <c:w val="0.47194432196271324"/>
          <c:h val="0.8157405906441918"/>
        </c:manualLayout>
      </c:layout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Номинальные расходы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4.2222687007874016E-2"/>
                  <c:y val="-5.3238185701391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86-4126-AE6F-465E56CA3B4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_-* #,##0_р_._-;\-* #,##0_р_._-;_-* "-"??_р_._-;_-@_-</c:formatCode>
                <c:ptCount val="8"/>
                <c:pt idx="0">
                  <c:v>402.27714430000003</c:v>
                </c:pt>
                <c:pt idx="1">
                  <c:v>520.36083669204822</c:v>
                </c:pt>
                <c:pt idx="2">
                  <c:v>641.97993875607801</c:v>
                </c:pt>
                <c:pt idx="3">
                  <c:v>664.90045756400002</c:v>
                </c:pt>
                <c:pt idx="4">
                  <c:v>738.09227539300002</c:v>
                </c:pt>
                <c:pt idx="5">
                  <c:v>783.00003735481005</c:v>
                </c:pt>
                <c:pt idx="6">
                  <c:v>947.78145759027018</c:v>
                </c:pt>
                <c:pt idx="7">
                  <c:v>1023.8727555483702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E86-4126-AE6F-465E56CA3B4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Реальные расходы 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/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0</c:formatCode>
                <c:ptCount val="8"/>
                <c:pt idx="0">
                  <c:v>402.27714430000003</c:v>
                </c:pt>
                <c:pt idx="1">
                  <c:v>484.50729673375065</c:v>
                </c:pt>
                <c:pt idx="2">
                  <c:v>563.91196616077957</c:v>
                </c:pt>
                <c:pt idx="3">
                  <c:v>557.29507175816582</c:v>
                </c:pt>
                <c:pt idx="4">
                  <c:v>590.87082848501643</c:v>
                </c:pt>
                <c:pt idx="5">
                  <c:v>562.87822667917703</c:v>
                </c:pt>
                <c:pt idx="6">
                  <c:v>627.95877921578597</c:v>
                </c:pt>
                <c:pt idx="7">
                  <c:v>633.40202090391858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E86-4126-AE6F-465E56CA3B4E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63471744"/>
        <c:axId val="163473280"/>
      </c:lineChart>
      <c:catAx>
        <c:axId val="163471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3473280"/>
        <c:crosses val="autoZero"/>
        <c:auto val="1"/>
        <c:lblAlgn val="ctr"/>
        <c:lblOffset val="100"/>
        <c:noMultiLvlLbl val="0"/>
      </c:catAx>
      <c:valAx>
        <c:axId val="163473280"/>
        <c:scaling>
          <c:orientation val="minMax"/>
        </c:scaling>
        <c:delete val="0"/>
        <c:axPos val="l"/>
        <c:majorGridlines/>
        <c:numFmt formatCode="_-* #,##0_р_._-;\-* #,##0_р_._-;_-* &quot;-&quot;??_р_._-;_-@_-" sourceLinked="1"/>
        <c:majorTickMark val="out"/>
        <c:minorTickMark val="none"/>
        <c:tickLblPos val="nextTo"/>
        <c:crossAx val="1634717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1-68B7-41BE-BF9C-4FC9D10F16F5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68B7-41BE-BF9C-4FC9D10F16F5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68B7-41BE-BF9C-4FC9D10F16F5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68B7-41BE-BF9C-4FC9D10F16F5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68B7-41BE-BF9C-4FC9D10F16F5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68B7-41BE-BF9C-4FC9D10F16F5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68B7-41BE-BF9C-4FC9D10F16F5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68B7-41BE-BF9C-4FC9D10F16F5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68B7-41BE-BF9C-4FC9D10F16F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Стационарная помощь</c:v>
                </c:pt>
                <c:pt idx="1">
                  <c:v>Дневной стационар</c:v>
                </c:pt>
                <c:pt idx="2">
                  <c:v> АПП</c:v>
                </c:pt>
                <c:pt idx="3">
                  <c:v>Реабилитация</c:v>
                </c:pt>
                <c:pt idx="4">
                  <c:v>Вспомогательные услуги</c:v>
                </c:pt>
                <c:pt idx="5">
                  <c:v>ЛС</c:v>
                </c:pt>
                <c:pt idx="6">
                  <c:v>Профилактические услуги</c:v>
                </c:pt>
                <c:pt idx="7">
                  <c:v>Администрирование</c:v>
                </c:pt>
                <c:pt idx="8">
                  <c:v>Прочие услуги</c:v>
                </c:pt>
              </c:strCache>
            </c:strRef>
          </c:cat>
          <c:val>
            <c:numRef>
              <c:f>Лист1!$B$2:$B$10</c:f>
              <c:numCache>
                <c:formatCode>0.0%</c:formatCode>
                <c:ptCount val="9"/>
                <c:pt idx="0">
                  <c:v>0.41302289533129705</c:v>
                </c:pt>
                <c:pt idx="1">
                  <c:v>3.2010741350541175E-2</c:v>
                </c:pt>
                <c:pt idx="2">
                  <c:v>0.28197135370070758</c:v>
                </c:pt>
                <c:pt idx="3" formatCode="0.00%">
                  <c:v>4.9849499476237668E-4</c:v>
                </c:pt>
                <c:pt idx="4">
                  <c:v>7.5335323584249339E-2</c:v>
                </c:pt>
                <c:pt idx="5">
                  <c:v>8.8072492155463852E-2</c:v>
                </c:pt>
                <c:pt idx="6">
                  <c:v>6.3908797819759972E-2</c:v>
                </c:pt>
                <c:pt idx="7">
                  <c:v>3.9110871599909232E-2</c:v>
                </c:pt>
                <c:pt idx="8">
                  <c:v>6.0690294633100519E-3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F5-43DA-930D-CFCE98C9DA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"/>
          <c:y val="0"/>
          <c:w val="1"/>
          <c:h val="0.8716442249452546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Стационар</c:v>
                </c:pt>
              </c:strCache>
            </c:strRef>
          </c:tx>
          <c:spPr>
            <a:solidFill>
              <a:schemeClr val="accent5">
                <a:shade val="53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5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8F1F-4B5C-90EA-4E8189895ADD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34%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F1F-4B5C-90EA-4E8189895A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Лист1!$B$2:$B$10</c:f>
              <c:numCache>
                <c:formatCode>0%</c:formatCode>
                <c:ptCount val="9"/>
                <c:pt idx="0">
                  <c:v>0.34</c:v>
                </c:pt>
                <c:pt idx="1">
                  <c:v>0.4806895220358619</c:v>
                </c:pt>
                <c:pt idx="2">
                  <c:v>0.50693689587058921</c:v>
                </c:pt>
                <c:pt idx="3">
                  <c:v>0.4779441463273903</c:v>
                </c:pt>
                <c:pt idx="4">
                  <c:v>0.48674183755653272</c:v>
                </c:pt>
                <c:pt idx="5">
                  <c:v>0.60714779482925452</c:v>
                </c:pt>
                <c:pt idx="6">
                  <c:v>0.56724490349655454</c:v>
                </c:pt>
                <c:pt idx="7">
                  <c:v>0.55704787529741384</c:v>
                </c:pt>
                <c:pt idx="8">
                  <c:v>0.53128116307143181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1F-4B5C-90EA-4E8189895AD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АПП</c:v>
                </c:pt>
              </c:strCache>
            </c:strRef>
          </c:tx>
          <c:spPr>
            <a:solidFill>
              <a:schemeClr val="accent5">
                <a:shade val="76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75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8F1F-4B5C-90EA-4E8189895ADD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26%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F1F-4B5C-90EA-4E8189895AD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ru-RU" baseline="0" smtClean="0"/>
                      <a:t>34 </a:t>
                    </a:r>
                    <a:r>
                      <a:rPr lang="ru-RU" smtClean="0"/>
                      <a:t>%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F1F-4B5C-90EA-4E8189895A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Лист1!$C$2:$C$10</c:f>
              <c:numCache>
                <c:formatCode>0%</c:formatCode>
                <c:ptCount val="9"/>
                <c:pt idx="0">
                  <c:v>0.26</c:v>
                </c:pt>
                <c:pt idx="1">
                  <c:v>0.32806804374240628</c:v>
                </c:pt>
                <c:pt idx="2">
                  <c:v>0.33782156924623397</c:v>
                </c:pt>
                <c:pt idx="3">
                  <c:v>0.34667647567941889</c:v>
                </c:pt>
                <c:pt idx="4">
                  <c:v>0.35845052970695762</c:v>
                </c:pt>
                <c:pt idx="5">
                  <c:v>0.2487211392230057</c:v>
                </c:pt>
                <c:pt idx="6">
                  <c:v>0.26179838286634227</c:v>
                </c:pt>
                <c:pt idx="7">
                  <c:v>0.28173711947699603</c:v>
                </c:pt>
                <c:pt idx="8">
                  <c:v>0.30336429958536743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1F-4B5C-90EA-4E8189895AD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АЛО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8F1F-4B5C-90EA-4E8189895ADD}"/>
              </c:ext>
            </c:extLst>
          </c:dPt>
          <c:dLbls>
            <c:dLbl>
              <c:idx val="2"/>
              <c:layout>
                <c:manualLayout>
                  <c:x val="0"/>
                  <c:y val="-3.7507678561456452E-3"/>
                </c:manualLayout>
              </c:layout>
              <c:tx>
                <c:rich>
                  <a:bodyPr/>
                  <a:lstStyle/>
                  <a:p>
                    <a:r>
                      <a:rPr lang="ru-RU" dirty="0" smtClean="0"/>
                      <a:t>8</a:t>
                    </a:r>
                    <a:r>
                      <a:rPr lang="ru-RU" baseline="0" dirty="0" smtClean="0"/>
                      <a:t> %</a:t>
                    </a:r>
                    <a:endParaRPr lang="ru-RU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F1F-4B5C-90EA-4E8189895A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Лист1!$D$2:$D$10</c:f>
              <c:numCache>
                <c:formatCode>0%</c:formatCode>
                <c:ptCount val="9"/>
                <c:pt idx="0">
                  <c:v>0.16</c:v>
                </c:pt>
                <c:pt idx="1">
                  <c:v>0.1025425557284156</c:v>
                </c:pt>
                <c:pt idx="2">
                  <c:v>7.5096134740582354E-2</c:v>
                </c:pt>
                <c:pt idx="3">
                  <c:v>8.6045236858807911E-2</c:v>
                </c:pt>
                <c:pt idx="4">
                  <c:v>7.8573198686574489E-2</c:v>
                </c:pt>
                <c:pt idx="5">
                  <c:v>7.6265035255080882E-2</c:v>
                </c:pt>
                <c:pt idx="6">
                  <c:v>7.6189787095490485E-2</c:v>
                </c:pt>
                <c:pt idx="7">
                  <c:v>7.2246558893509158E-2</c:v>
                </c:pt>
                <c:pt idx="8">
                  <c:v>7.9620007347924265E-2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F1F-4B5C-90EA-4E8189895AD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дневной стационар</c:v>
                </c:pt>
              </c:strCache>
            </c:strRef>
          </c:tx>
          <c:spPr>
            <a:solidFill>
              <a:schemeClr val="accent5">
                <a:tint val="77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C-8F1F-4B5C-90EA-4E8189895ADD}"/>
              </c:ext>
            </c:extLst>
          </c:dPt>
          <c:dLbls>
            <c:dLbl>
              <c:idx val="2"/>
              <c:layout>
                <c:manualLayout>
                  <c:x val="-6.2502866753306376E-3"/>
                  <c:y val="-2.9508013625956365E-3"/>
                </c:manualLayout>
              </c:layout>
              <c:tx>
                <c:rich>
                  <a:bodyPr/>
                  <a:lstStyle/>
                  <a:p>
                    <a:r>
                      <a:rPr lang="ru-RU" sz="1000" b="0" dirty="0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rPr>
                      <a:t>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F1F-4B5C-90EA-4E8189895A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Лист1!$E$2:$E$10</c:f>
              <c:numCache>
                <c:formatCode>0%</c:formatCode>
                <c:ptCount val="9"/>
                <c:pt idx="0">
                  <c:v>0.19</c:v>
                </c:pt>
                <c:pt idx="1">
                  <c:v>3.7246908393045751E-2</c:v>
                </c:pt>
                <c:pt idx="2">
                  <c:v>3.8512336804703298E-2</c:v>
                </c:pt>
                <c:pt idx="3">
                  <c:v>3.7144423287750278E-2</c:v>
                </c:pt>
                <c:pt idx="4">
                  <c:v>3.3377733721578602E-2</c:v>
                </c:pt>
                <c:pt idx="5">
                  <c:v>2.730540577906819E-2</c:v>
                </c:pt>
                <c:pt idx="6">
                  <c:v>3.7244722609120394E-2</c:v>
                </c:pt>
                <c:pt idx="7">
                  <c:v>3.4177581107825046E-2</c:v>
                </c:pt>
                <c:pt idx="8">
                  <c:v>2.6977378890463477E-2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F1F-4B5C-90EA-4E8189895ADD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Скорая помощь</c:v>
                </c:pt>
              </c:strCache>
            </c:strRef>
          </c:tx>
          <c:spPr>
            <a:solidFill>
              <a:schemeClr val="accent5">
                <a:tint val="54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8F1F-4B5C-90EA-4E8189895ADD}"/>
              </c:ext>
            </c:extLst>
          </c:dPt>
          <c:dLbls>
            <c:dLbl>
              <c:idx val="2"/>
              <c:layout>
                <c:manualLayout>
                  <c:x val="-5.941358325503802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F1F-4B5C-90EA-4E8189895A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Лист1!$F$2:$F$10</c:f>
              <c:numCache>
                <c:formatCode>0%</c:formatCode>
                <c:ptCount val="9"/>
                <c:pt idx="0">
                  <c:v>0.05</c:v>
                </c:pt>
                <c:pt idx="1">
                  <c:v>5.0873826097818563E-2</c:v>
                </c:pt>
                <c:pt idx="2">
                  <c:v>4.1001905162640087E-2</c:v>
                </c:pt>
                <c:pt idx="3">
                  <c:v>5.1454041890254466E-2</c:v>
                </c:pt>
                <c:pt idx="4">
                  <c:v>4.2113251967040514E-2</c:v>
                </c:pt>
                <c:pt idx="5">
                  <c:v>3.9800221208350618E-2</c:v>
                </c:pt>
                <c:pt idx="6">
                  <c:v>4.7917081200369034E-2</c:v>
                </c:pt>
                <c:pt idx="7">
                  <c:v>4.7986480176113538E-2</c:v>
                </c:pt>
                <c:pt idx="8">
                  <c:v>5.7523749540754725E-2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F1F-4B5C-90EA-4E8189895A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overlap val="100"/>
        <c:axId val="163799424"/>
        <c:axId val="163800960"/>
      </c:barChart>
      <c:catAx>
        <c:axId val="16379942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63800960"/>
        <c:crosses val="autoZero"/>
        <c:auto val="1"/>
        <c:lblAlgn val="ctr"/>
        <c:lblOffset val="100"/>
        <c:noMultiLvlLbl val="0"/>
      </c:catAx>
      <c:valAx>
        <c:axId val="163800960"/>
        <c:scaling>
          <c:orientation val="minMax"/>
        </c:scaling>
        <c:delete val="1"/>
        <c:axPos val="b"/>
        <c:numFmt formatCode="0%" sourceLinked="1"/>
        <c:majorTickMark val="out"/>
        <c:minorTickMark val="none"/>
        <c:tickLblPos val="none"/>
        <c:crossAx val="163799424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layout>
        <c:manualLayout>
          <c:xMode val="edge"/>
          <c:yMode val="edge"/>
          <c:x val="4.9821338718670505E-2"/>
          <c:y val="0.89519133702961751"/>
          <c:w val="0.90650113405589394"/>
          <c:h val="5.984084436253978E-2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prstDash val="solid"/>
      <a:round/>
    </a:ln>
    <a:effectLst/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Номинальные расходы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4.2222687007874016E-2"/>
                  <c:y val="-5.3238185701391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F37-4A69-8A43-5ABC8D7C29D1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_-* #,##0.0_р_._-;\-* #,##0.0_р_._-;_-* "-"??_р_._-;_-@_-</c:formatCode>
                <c:ptCount val="8"/>
                <c:pt idx="0">
                  <c:v>187.19641336741296</c:v>
                </c:pt>
                <c:pt idx="1">
                  <c:v>235.433121032</c:v>
                </c:pt>
                <c:pt idx="2">
                  <c:v>294.050106406</c:v>
                </c:pt>
                <c:pt idx="3">
                  <c:v>292.23453000000001</c:v>
                </c:pt>
                <c:pt idx="4">
                  <c:v>332.25811432</c:v>
                </c:pt>
                <c:pt idx="5">
                  <c:v>456.79348039999996</c:v>
                </c:pt>
                <c:pt idx="6">
                  <c:v>645.61813605882355</c:v>
                </c:pt>
                <c:pt idx="7">
                  <c:v>626.87461370588233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F37-4A69-8A43-5ABC8D7C29D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Реальные расходы 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_-* #,##0.0_р_._-;\-* #,##0.0_р_._-;_-* "-"??_р_._-;_-@_-</c:formatCode>
                <c:ptCount val="8"/>
                <c:pt idx="0">
                  <c:v>187.19641336741296</c:v>
                </c:pt>
                <c:pt idx="1">
                  <c:v>219.21147209683423</c:v>
                </c:pt>
                <c:pt idx="2">
                  <c:v>258.29214223498821</c:v>
                </c:pt>
                <c:pt idx="3">
                  <c:v>244.94021851517181</c:v>
                </c:pt>
                <c:pt idx="4">
                  <c:v>265.98520784490739</c:v>
                </c:pt>
                <c:pt idx="5">
                  <c:v>328.37687348621409</c:v>
                </c:pt>
                <c:pt idx="6">
                  <c:v>427.7585020389115</c:v>
                </c:pt>
                <c:pt idx="7">
                  <c:v>387.80565751259599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F37-4A69-8A43-5ABC8D7C29D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63826688"/>
        <c:axId val="163906304"/>
      </c:lineChart>
      <c:catAx>
        <c:axId val="16382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3906304"/>
        <c:crosses val="autoZero"/>
        <c:auto val="1"/>
        <c:lblAlgn val="ctr"/>
        <c:lblOffset val="100"/>
        <c:noMultiLvlLbl val="0"/>
      </c:catAx>
      <c:valAx>
        <c:axId val="163906304"/>
        <c:scaling>
          <c:orientation val="minMax"/>
        </c:scaling>
        <c:delete val="0"/>
        <c:axPos val="l"/>
        <c:majorGridlines/>
        <c:numFmt formatCode="_-* #,##0.0_р_._-;\-* #,##0.0_р_._-;_-* &quot;-&quot;??_р_._-;_-@_-" sourceLinked="1"/>
        <c:majorTickMark val="out"/>
        <c:minorTickMark val="none"/>
        <c:tickLblPos val="nextTo"/>
        <c:crossAx val="1638266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>
        <c:manualLayout>
          <c:layoutTarget val="inner"/>
          <c:xMode val="edge"/>
          <c:yMode val="edge"/>
          <c:x val="0"/>
          <c:y val="2.2123373211988134E-2"/>
          <c:w val="1"/>
          <c:h val="0.6214888641092624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Стационарная помощь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20.6</c:v>
                </c:pt>
                <c:pt idx="1">
                  <c:v>35.799999999999997</c:v>
                </c:pt>
                <c:pt idx="2">
                  <c:v>40.799999999999997</c:v>
                </c:pt>
                <c:pt idx="3">
                  <c:v>32.6</c:v>
                </c:pt>
                <c:pt idx="4">
                  <c:v>37.799999999999997</c:v>
                </c:pt>
                <c:pt idx="5">
                  <c:v>45.9</c:v>
                </c:pt>
                <c:pt idx="6">
                  <c:v>58.4</c:v>
                </c:pt>
                <c:pt idx="7">
                  <c:v>65.900000000000006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B5-446C-81EE-88B2470D32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Амбулаторно-поликлиническая помощь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25.5</c:v>
                </c:pt>
                <c:pt idx="1">
                  <c:v>63.1</c:v>
                </c:pt>
                <c:pt idx="2">
                  <c:v>86.9</c:v>
                </c:pt>
                <c:pt idx="3">
                  <c:v>81.5</c:v>
                </c:pt>
                <c:pt idx="4">
                  <c:v>90.4</c:v>
                </c:pt>
                <c:pt idx="5">
                  <c:v>121</c:v>
                </c:pt>
                <c:pt idx="6">
                  <c:v>146.69999999999999</c:v>
                </c:pt>
                <c:pt idx="7">
                  <c:v>192.9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1B5-446C-81EE-88B2470D32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Реабилитационные услуги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  <c:pt idx="3">
                  <c:v>9.1999999999999993</c:v>
                </c:pt>
                <c:pt idx="4">
                  <c:v>10.199999999999999</c:v>
                </c:pt>
                <c:pt idx="5">
                  <c:v>9.3000000000000007</c:v>
                </c:pt>
                <c:pt idx="6">
                  <c:v>11.3</c:v>
                </c:pt>
                <c:pt idx="7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1B5-446C-81EE-88B2470D32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Лекарственные средства и изделия медицинского назначения</c:v>
                </c:pt>
              </c:strCache>
            </c:strRef>
          </c:tx>
          <c:spPr>
            <a:ln w="15875"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108.7</c:v>
                </c:pt>
                <c:pt idx="1">
                  <c:v>113.30000000000001</c:v>
                </c:pt>
                <c:pt idx="2">
                  <c:v>150.80000000000001</c:v>
                </c:pt>
                <c:pt idx="3">
                  <c:v>145.19999999999999</c:v>
                </c:pt>
                <c:pt idx="4">
                  <c:v>174</c:v>
                </c:pt>
                <c:pt idx="5">
                  <c:v>260.20000000000005</c:v>
                </c:pt>
                <c:pt idx="6">
                  <c:v>404.3</c:v>
                </c:pt>
                <c:pt idx="7" formatCode="0.0">
                  <c:v>350.1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1B5-446C-81EE-88B2470D3256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Прочие услуги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Лист1!$F$2:$F$9</c:f>
              <c:numCache>
                <c:formatCode>General</c:formatCode>
                <c:ptCount val="8"/>
                <c:pt idx="0">
                  <c:v>0.3</c:v>
                </c:pt>
                <c:pt idx="1">
                  <c:v>12.7</c:v>
                </c:pt>
                <c:pt idx="2">
                  <c:v>4.4000000000000004</c:v>
                </c:pt>
                <c:pt idx="3">
                  <c:v>5.0999999999999996</c:v>
                </c:pt>
                <c:pt idx="4">
                  <c:v>4.2</c:v>
                </c:pt>
                <c:pt idx="5">
                  <c:v>2.9</c:v>
                </c:pt>
                <c:pt idx="6">
                  <c:v>4.9000000000000004</c:v>
                </c:pt>
                <c:pt idx="7">
                  <c:v>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1B5-446C-81EE-88B2470D325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63682176"/>
        <c:axId val="163917184"/>
      </c:barChart>
      <c:catAx>
        <c:axId val="16368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3917184"/>
        <c:crosses val="autoZero"/>
        <c:auto val="1"/>
        <c:lblAlgn val="ctr"/>
        <c:lblOffset val="100"/>
        <c:noMultiLvlLbl val="0"/>
      </c:catAx>
      <c:valAx>
        <c:axId val="163917184"/>
        <c:scaling>
          <c:orientation val="minMax"/>
        </c:scaling>
        <c:delete val="1"/>
        <c:axPos val="l"/>
        <c:majorGridlines/>
        <c:numFmt formatCode="General" sourceLinked="1"/>
        <c:majorTickMark val="out"/>
        <c:minorTickMark val="none"/>
        <c:tickLblPos val="nextTo"/>
        <c:crossAx val="1636821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"/>
          <c:y val="0.7270515407492919"/>
          <c:w val="0.99929924436272"/>
          <c:h val="0.272948367470846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19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2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6CC5-4B4A-927A-E95244445DD6}"/>
              </c:ext>
            </c:extLst>
          </c:dPt>
          <c:dPt>
            <c:idx val="31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accent2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6CC5-4B4A-927A-E95244445DD6}"/>
              </c:ext>
            </c:extLst>
          </c:dPt>
          <c:dLbls>
            <c:dLbl>
              <c:idx val="19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CC5-4B4A-927A-E95244445DD6}"/>
                </c:ext>
              </c:extLst>
            </c:dLbl>
            <c:dLbl>
              <c:idx val="3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CC5-4B4A-927A-E95244445DD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Лист1!$A$2:$A$38</c:f>
              <c:strCache>
                <c:ptCount val="37"/>
                <c:pt idx="0">
                  <c:v>Norway</c:v>
                </c:pt>
                <c:pt idx="1">
                  <c:v>Germany</c:v>
                </c:pt>
                <c:pt idx="2">
                  <c:v>Denmark</c:v>
                </c:pt>
                <c:pt idx="3">
                  <c:v>Japan</c:v>
                </c:pt>
                <c:pt idx="4">
                  <c:v>Sweden</c:v>
                </c:pt>
                <c:pt idx="5">
                  <c:v>France</c:v>
                </c:pt>
                <c:pt idx="6">
                  <c:v>Czech Republic</c:v>
                </c:pt>
                <c:pt idx="7">
                  <c:v>Iceland</c:v>
                </c:pt>
                <c:pt idx="8">
                  <c:v>Luxembourg</c:v>
                </c:pt>
                <c:pt idx="9">
                  <c:v>Netherlands</c:v>
                </c:pt>
                <c:pt idx="10">
                  <c:v>Slovak Republic</c:v>
                </c:pt>
                <c:pt idx="11">
                  <c:v>Belgium</c:v>
                </c:pt>
                <c:pt idx="12">
                  <c:v>United Kingdom</c:v>
                </c:pt>
                <c:pt idx="13">
                  <c:v>New Zealand</c:v>
                </c:pt>
                <c:pt idx="14">
                  <c:v>Turkey</c:v>
                </c:pt>
                <c:pt idx="15">
                  <c:v>Estonia</c:v>
                </c:pt>
                <c:pt idx="16">
                  <c:v>Austria</c:v>
                </c:pt>
                <c:pt idx="17">
                  <c:v>Italy</c:v>
                </c:pt>
                <c:pt idx="18">
                  <c:v>Finland</c:v>
                </c:pt>
                <c:pt idx="19">
                  <c:v>OECD average</c:v>
                </c:pt>
                <c:pt idx="20">
                  <c:v>Slovenia</c:v>
                </c:pt>
                <c:pt idx="21">
                  <c:v>Ireland</c:v>
                </c:pt>
                <c:pt idx="22">
                  <c:v>Spain</c:v>
                </c:pt>
                <c:pt idx="23">
                  <c:v>Canada</c:v>
                </c:pt>
                <c:pt idx="24">
                  <c:v>Poland</c:v>
                </c:pt>
                <c:pt idx="25">
                  <c:v>Australia</c:v>
                </c:pt>
                <c:pt idx="26">
                  <c:v>Lithuania</c:v>
                </c:pt>
                <c:pt idx="27">
                  <c:v>Hungary</c:v>
                </c:pt>
                <c:pt idx="28">
                  <c:v>Portugal</c:v>
                </c:pt>
                <c:pt idx="29">
                  <c:v>Israel</c:v>
                </c:pt>
                <c:pt idx="30">
                  <c:v>Switzerland</c:v>
                </c:pt>
                <c:pt idx="31">
                  <c:v>Kazakhstan</c:v>
                </c:pt>
                <c:pt idx="32">
                  <c:v>Greece</c:v>
                </c:pt>
                <c:pt idx="33">
                  <c:v>Chile</c:v>
                </c:pt>
                <c:pt idx="34">
                  <c:v>Korea</c:v>
                </c:pt>
                <c:pt idx="35">
                  <c:v>Latvia</c:v>
                </c:pt>
                <c:pt idx="36">
                  <c:v>Mexico</c:v>
                </c:pt>
              </c:strCache>
            </c:strRef>
          </c:cat>
          <c:val>
            <c:numRef>
              <c:f>Лист1!$B$2:$B$38</c:f>
              <c:numCache>
                <c:formatCode>#,##0.0_ ;\-#,##0.0\ </c:formatCode>
                <c:ptCount val="37"/>
                <c:pt idx="0">
                  <c:v>14.994999999999999</c:v>
                </c:pt>
                <c:pt idx="1">
                  <c:v>14.996</c:v>
                </c:pt>
                <c:pt idx="2">
                  <c:v>15.811999999999999</c:v>
                </c:pt>
                <c:pt idx="3">
                  <c:v>15.829000000000001</c:v>
                </c:pt>
                <c:pt idx="4">
                  <c:v>16.41</c:v>
                </c:pt>
                <c:pt idx="5">
                  <c:v>17.007000000000001</c:v>
                </c:pt>
                <c:pt idx="6">
                  <c:v>17.831</c:v>
                </c:pt>
                <c:pt idx="7">
                  <c:v>17.96</c:v>
                </c:pt>
                <c:pt idx="8">
                  <c:v>18.353999999999999</c:v>
                </c:pt>
                <c:pt idx="9">
                  <c:v>18.716999999999999</c:v>
                </c:pt>
                <c:pt idx="10">
                  <c:v>19.481999999999999</c:v>
                </c:pt>
                <c:pt idx="11">
                  <c:v>21.231000000000002</c:v>
                </c:pt>
                <c:pt idx="12">
                  <c:v>21.295000000000002</c:v>
                </c:pt>
                <c:pt idx="13">
                  <c:v>21.413</c:v>
                </c:pt>
                <c:pt idx="14">
                  <c:v>21.747</c:v>
                </c:pt>
                <c:pt idx="15">
                  <c:v>23.952999999999999</c:v>
                </c:pt>
                <c:pt idx="16">
                  <c:v>25.67</c:v>
                </c:pt>
                <c:pt idx="17">
                  <c:v>25.97</c:v>
                </c:pt>
                <c:pt idx="18">
                  <c:v>26.236999999999998</c:v>
                </c:pt>
                <c:pt idx="19">
                  <c:v>26.8</c:v>
                </c:pt>
                <c:pt idx="20">
                  <c:v>27.091000000000001</c:v>
                </c:pt>
                <c:pt idx="21">
                  <c:v>27.431999999999999</c:v>
                </c:pt>
                <c:pt idx="22">
                  <c:v>29.225999999999999</c:v>
                </c:pt>
                <c:pt idx="23">
                  <c:v>29.925999999999998</c:v>
                </c:pt>
                <c:pt idx="24">
                  <c:v>30.835000000000001</c:v>
                </c:pt>
                <c:pt idx="25">
                  <c:v>31.555</c:v>
                </c:pt>
                <c:pt idx="26">
                  <c:v>33.093000000000004</c:v>
                </c:pt>
                <c:pt idx="27">
                  <c:v>33.237000000000002</c:v>
                </c:pt>
                <c:pt idx="28">
                  <c:v>33.353999999999999</c:v>
                </c:pt>
                <c:pt idx="29">
                  <c:v>37.167000000000002</c:v>
                </c:pt>
                <c:pt idx="30">
                  <c:v>37.192</c:v>
                </c:pt>
                <c:pt idx="31">
                  <c:v>37.9</c:v>
                </c:pt>
                <c:pt idx="32">
                  <c:v>38.774999999999999</c:v>
                </c:pt>
                <c:pt idx="33">
                  <c:v>39.19</c:v>
                </c:pt>
                <c:pt idx="34">
                  <c:v>41.777000000000001</c:v>
                </c:pt>
                <c:pt idx="35">
                  <c:v>45.372</c:v>
                </c:pt>
                <c:pt idx="36">
                  <c:v>48.438000000000002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CC5-4B4A-927A-E95244445D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4"/>
        <c:axId val="164147584"/>
        <c:axId val="164149120"/>
      </c:barChart>
      <c:catAx>
        <c:axId val="164147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64149120"/>
        <c:crosses val="autoZero"/>
        <c:auto val="1"/>
        <c:lblAlgn val="ctr"/>
        <c:lblOffset val="100"/>
        <c:noMultiLvlLbl val="0"/>
      </c:catAx>
      <c:valAx>
        <c:axId val="164149120"/>
        <c:scaling>
          <c:orientation val="minMax"/>
        </c:scaling>
        <c:delete val="0"/>
        <c:axPos val="l"/>
        <c:majorGridlines/>
        <c:numFmt formatCode="#,##0.0_ ;\-#,##0.0\ " sourceLinked="1"/>
        <c:majorTickMark val="out"/>
        <c:minorTickMark val="none"/>
        <c:tickLblPos val="nextTo"/>
        <c:crossAx val="16414758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588980511294356"/>
          <c:y val="0"/>
          <c:w val="0.79463326792888811"/>
          <c:h val="0.99599599599599598"/>
        </c:manualLayout>
      </c:layout>
      <c:bar3DChart>
        <c:barDir val="bar"/>
        <c:grouping val="stack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0.12363636363636364"/>
                  <c:y val="-1.3655960464738595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BF-456E-A6AE-EFCD4AF6C188}"/>
                </c:ext>
              </c:extLst>
            </c:dLbl>
            <c:dLbl>
              <c:idx val="1"/>
              <c:layout>
                <c:manualLayout>
                  <c:x val="0.1236363636363636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BF-456E-A6AE-EFCD4AF6C188}"/>
                </c:ext>
              </c:extLst>
            </c:dLbl>
            <c:dLbl>
              <c:idx val="2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6BF-456E-A6AE-EFCD4AF6C188}"/>
                </c:ext>
              </c:extLst>
            </c:dLbl>
            <c:dLbl>
              <c:idx val="3"/>
              <c:layout>
                <c:manualLayout>
                  <c:x val="0.12363636363636368"/>
                  <c:y val="3.72439587806142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6BF-456E-A6AE-EFCD4AF6C188}"/>
                </c:ext>
              </c:extLst>
            </c:dLbl>
            <c:dLbl>
              <c:idx val="4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6BF-456E-A6AE-EFCD4AF6C188}"/>
                </c:ext>
              </c:extLst>
            </c:dLbl>
            <c:dLbl>
              <c:idx val="5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6BF-456E-A6AE-EFCD4AF6C188}"/>
                </c:ext>
              </c:extLst>
            </c:dLbl>
            <c:dLbl>
              <c:idx val="6"/>
              <c:layout>
                <c:manualLayout>
                  <c:x val="0.13575757575757566"/>
                  <c:y val="6.82798023236926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6BF-456E-A6AE-EFCD4AF6C188}"/>
                </c:ext>
              </c:extLst>
            </c:dLbl>
            <c:dLbl>
              <c:idx val="7"/>
              <c:layout>
                <c:manualLayout>
                  <c:x val="0.13090909090909164"/>
                  <c:y val="-6.82798023236926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6BF-456E-A6AE-EFCD4AF6C188}"/>
                </c:ext>
              </c:extLst>
            </c:dLbl>
            <c:dLbl>
              <c:idx val="8"/>
              <c:layout>
                <c:manualLayout>
                  <c:x val="0.1381818181818181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6BF-456E-A6AE-EFCD4AF6C188}"/>
                </c:ext>
              </c:extLst>
            </c:dLbl>
            <c:dLbl>
              <c:idx val="9"/>
              <c:layout>
                <c:manualLayout>
                  <c:x val="0.13818181818181813"/>
                  <c:y val="-3.72439587806162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6BF-456E-A6AE-EFCD4AF6C188}"/>
                </c:ext>
              </c:extLst>
            </c:dLbl>
            <c:dLbl>
              <c:idx val="10"/>
              <c:layout>
                <c:manualLayout>
                  <c:x val="0.1600000000000001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6BF-456E-A6AE-EFCD4AF6C188}"/>
                </c:ext>
              </c:extLst>
            </c:dLbl>
            <c:dLbl>
              <c:idx val="11"/>
              <c:layout>
                <c:manualLayout>
                  <c:x val="0.16727272727272718"/>
                  <c:y val="7.44879175612308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6BF-456E-A6AE-EFCD4AF6C188}"/>
                </c:ext>
              </c:extLst>
            </c:dLbl>
            <c:dLbl>
              <c:idx val="12"/>
              <c:layout>
                <c:manualLayout>
                  <c:x val="0.20043540673920632"/>
                  <c:y val="7.72835827953938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6BF-456E-A6AE-EFCD4AF6C188}"/>
                </c:ext>
              </c:extLst>
            </c:dLbl>
            <c:dLbl>
              <c:idx val="13"/>
              <c:layout>
                <c:manualLayout>
                  <c:x val="0.25917420516610185"/>
                  <c:y val="8.00800800800800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6BF-456E-A6AE-EFCD4AF6C188}"/>
                </c:ext>
              </c:extLst>
            </c:dLbl>
            <c:dLbl>
              <c:idx val="14"/>
              <c:layout>
                <c:manualLayout>
                  <c:x val="0.30174366553695381"/>
                  <c:y val="3.72435427553538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6BF-456E-A6AE-EFCD4AF6C188}"/>
                </c:ext>
              </c:extLst>
            </c:dLbl>
            <c:dLbl>
              <c:idx val="15"/>
              <c:layout>
                <c:manualLayout>
                  <c:x val="0.32647905970586705"/>
                  <c:y val="7.8698929553141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6BF-456E-A6AE-EFCD4AF6C18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'общие расходы'!$B$2:$B$17</c:f>
              <c:strCache>
                <c:ptCount val="16"/>
                <c:pt idx="0">
                  <c:v>СКО</c:v>
                </c:pt>
                <c:pt idx="1">
                  <c:v>Мангыстауская</c:v>
                </c:pt>
                <c:pt idx="2">
                  <c:v>Акмолинская</c:v>
                </c:pt>
                <c:pt idx="3">
                  <c:v>ЗКО</c:v>
                </c:pt>
                <c:pt idx="4">
                  <c:v>Атырауская</c:v>
                </c:pt>
                <c:pt idx="5">
                  <c:v>Актюбинская</c:v>
                </c:pt>
                <c:pt idx="6">
                  <c:v>Кызылординская</c:v>
                </c:pt>
                <c:pt idx="7">
                  <c:v>Костанайская</c:v>
                </c:pt>
                <c:pt idx="8">
                  <c:v>Павлодарская</c:v>
                </c:pt>
                <c:pt idx="9">
                  <c:v>Жамбылская</c:v>
                </c:pt>
                <c:pt idx="10">
                  <c:v>Алматинская</c:v>
                </c:pt>
                <c:pt idx="11">
                  <c:v>Карагандинская</c:v>
                </c:pt>
                <c:pt idx="12">
                  <c:v>ВКО</c:v>
                </c:pt>
                <c:pt idx="13">
                  <c:v>ЮКО</c:v>
                </c:pt>
                <c:pt idx="14">
                  <c:v>г.Астана</c:v>
                </c:pt>
                <c:pt idx="15">
                  <c:v>г.Алматы</c:v>
                </c:pt>
              </c:strCache>
            </c:strRef>
          </c:cat>
          <c:val>
            <c:numRef>
              <c:f>'общие расходы'!$C$2:$C$17</c:f>
              <c:numCache>
                <c:formatCode>_-* #,##0_р_._-;\-* #,##0_р_._-;_-* "-"??_р_._-;_-@_-</c:formatCode>
                <c:ptCount val="16"/>
                <c:pt idx="0">
                  <c:v>14166080.806299983</c:v>
                </c:pt>
                <c:pt idx="1">
                  <c:v>14510730.281200001</c:v>
                </c:pt>
                <c:pt idx="2">
                  <c:v>17749214.645400003</c:v>
                </c:pt>
                <c:pt idx="3">
                  <c:v>18338485.201199997</c:v>
                </c:pt>
                <c:pt idx="4">
                  <c:v>18930937.212700009</c:v>
                </c:pt>
                <c:pt idx="5">
                  <c:v>20073938.079700001</c:v>
                </c:pt>
                <c:pt idx="6">
                  <c:v>20513995.586999997</c:v>
                </c:pt>
                <c:pt idx="7">
                  <c:v>22058948.348200001</c:v>
                </c:pt>
                <c:pt idx="8">
                  <c:v>22946452.394300021</c:v>
                </c:pt>
                <c:pt idx="9">
                  <c:v>24188226.822799999</c:v>
                </c:pt>
                <c:pt idx="10">
                  <c:v>29841924.835300021</c:v>
                </c:pt>
                <c:pt idx="11">
                  <c:v>38100626.609200098</c:v>
                </c:pt>
                <c:pt idx="12">
                  <c:v>40274519.231500097</c:v>
                </c:pt>
                <c:pt idx="13">
                  <c:v>57911760.917399995</c:v>
                </c:pt>
                <c:pt idx="14">
                  <c:v>67633032.401300192</c:v>
                </c:pt>
                <c:pt idx="15">
                  <c:v>114027659.27519991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F6BF-456E-A6AE-EFCD4AF6C1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6"/>
        <c:shape val="box"/>
        <c:axId val="164636544"/>
        <c:axId val="164638080"/>
        <c:axId val="0"/>
      </c:bar3DChart>
      <c:catAx>
        <c:axId val="16463654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164638080"/>
        <c:crosses val="autoZero"/>
        <c:auto val="1"/>
        <c:lblAlgn val="ctr"/>
        <c:lblOffset val="100"/>
        <c:noMultiLvlLbl val="0"/>
      </c:catAx>
      <c:valAx>
        <c:axId val="164638080"/>
        <c:scaling>
          <c:orientation val="minMax"/>
        </c:scaling>
        <c:delete val="1"/>
        <c:axPos val="b"/>
        <c:numFmt formatCode="_-* #,##0_р_._-;\-* #,##0_р_._-;_-* &quot;-&quot;??_р_._-;_-@_-" sourceLinked="1"/>
        <c:majorTickMark val="out"/>
        <c:minorTickMark val="none"/>
        <c:tickLblPos val="none"/>
        <c:crossAx val="16463654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8459C-D01B-4A6C-9178-606B1272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Ищанова Айганым Бахытжановна</dc:creator>
  <cp:lastModifiedBy>Admin</cp:lastModifiedBy>
  <cp:revision>2</cp:revision>
  <dcterms:created xsi:type="dcterms:W3CDTF">2018-12-24T06:31:00Z</dcterms:created>
  <dcterms:modified xsi:type="dcterms:W3CDTF">2018-12-24T06:31:00Z</dcterms:modified>
</cp:coreProperties>
</file>